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22F71893" w:rsidR="00E70202" w:rsidRDefault="00DD663C" w:rsidP="007B1BEA">
            <w:pPr>
              <w:spacing w:before="0" w:line="240" w:lineRule="auto"/>
              <w:ind w:left="902"/>
              <w:jc w:val="right"/>
              <w:rPr>
                <w:b/>
                <w:sz w:val="26"/>
                <w:szCs w:val="26"/>
              </w:rPr>
            </w:pPr>
            <w:r>
              <w:rPr>
                <w:b/>
                <w:sz w:val="26"/>
                <w:szCs w:val="26"/>
              </w:rPr>
              <w:t>Press Release</w:t>
            </w:r>
          </w:p>
          <w:p w14:paraId="2B7EC604" w14:textId="4BB89B41" w:rsidR="008C7E44" w:rsidRPr="008C7E44" w:rsidRDefault="00493A84" w:rsidP="007B1BEA">
            <w:pPr>
              <w:spacing w:before="0" w:line="240" w:lineRule="auto"/>
              <w:ind w:left="902"/>
              <w:jc w:val="right"/>
              <w:rPr>
                <w:sz w:val="22"/>
                <w:szCs w:val="22"/>
              </w:rPr>
            </w:pPr>
            <w:r>
              <w:rPr>
                <w:sz w:val="22"/>
                <w:szCs w:val="22"/>
              </w:rPr>
              <w:t>February 16</w:t>
            </w:r>
            <w:r w:rsidR="00E3635A">
              <w:rPr>
                <w:sz w:val="22"/>
                <w:szCs w:val="22"/>
              </w:rPr>
              <w:t>,</w:t>
            </w:r>
            <w:r w:rsidR="001B107D">
              <w:rPr>
                <w:sz w:val="22"/>
                <w:szCs w:val="22"/>
              </w:rPr>
              <w:t xml:space="preserve"> 202</w:t>
            </w:r>
            <w:r w:rsidR="00812B01">
              <w:rPr>
                <w:sz w:val="22"/>
                <w:szCs w:val="22"/>
              </w:rPr>
              <w:t>3</w:t>
            </w:r>
          </w:p>
        </w:tc>
      </w:tr>
      <w:tr w:rsidR="00E3635A" w:rsidRPr="008C7E44" w14:paraId="24F10F43" w14:textId="77777777" w:rsidTr="008C7E44">
        <w:trPr>
          <w:cantSplit/>
        </w:trPr>
        <w:tc>
          <w:tcPr>
            <w:tcW w:w="3969" w:type="dxa"/>
            <w:vAlign w:val="center"/>
          </w:tcPr>
          <w:p w14:paraId="17C613C4" w14:textId="77777777" w:rsidR="00E3635A" w:rsidRDefault="00E3635A" w:rsidP="007B1BEA">
            <w:pPr>
              <w:spacing w:before="0" w:line="240" w:lineRule="auto"/>
              <w:jc w:val="right"/>
              <w:rPr>
                <w:b/>
                <w:sz w:val="26"/>
                <w:szCs w:val="26"/>
              </w:rPr>
            </w:pPr>
          </w:p>
        </w:tc>
      </w:tr>
      <w:tr w:rsidR="00E3635A" w:rsidRPr="008C7E44" w14:paraId="7A364664" w14:textId="77777777" w:rsidTr="008C7E44">
        <w:trPr>
          <w:cantSplit/>
        </w:trPr>
        <w:tc>
          <w:tcPr>
            <w:tcW w:w="3969" w:type="dxa"/>
            <w:vAlign w:val="center"/>
          </w:tcPr>
          <w:p w14:paraId="7D672D00" w14:textId="77777777" w:rsidR="00E3635A" w:rsidRDefault="00E3635A" w:rsidP="00400B4C">
            <w:pPr>
              <w:spacing w:before="0" w:line="240" w:lineRule="auto"/>
              <w:rPr>
                <w:b/>
                <w:sz w:val="26"/>
                <w:szCs w:val="26"/>
              </w:rPr>
            </w:pPr>
          </w:p>
        </w:tc>
      </w:tr>
    </w:tbl>
    <w:p w14:paraId="67140BCE" w14:textId="77777777" w:rsidR="00CA7C9D" w:rsidRDefault="003156B1" w:rsidP="00CA7C9D">
      <w:pPr>
        <w:pStyle w:val="RGTitreCP"/>
        <w:spacing w:after="0"/>
        <w:jc w:val="both"/>
        <w:rPr>
          <w:rFonts w:eastAsia="Renault Group" w:cs="Times New Roman"/>
          <w:b/>
          <w:sz w:val="38"/>
          <w:szCs w:val="38"/>
          <w:lang w:val="en-US"/>
        </w:rPr>
      </w:pPr>
      <w:r w:rsidRPr="007E3496">
        <w:rPr>
          <w:rFonts w:eastAsia="Renault Group" w:cs="Times New Roman"/>
          <w:b/>
          <w:sz w:val="38"/>
          <w:szCs w:val="38"/>
          <w:lang w:val="en-US"/>
        </w:rPr>
        <w:t xml:space="preserve">Renault </w:t>
      </w:r>
      <w:r w:rsidR="00CC3C75" w:rsidRPr="007E3496">
        <w:rPr>
          <w:rFonts w:eastAsia="Renault Group" w:cs="Times New Roman"/>
          <w:b/>
          <w:sz w:val="38"/>
          <w:szCs w:val="38"/>
          <w:lang w:val="en-US"/>
        </w:rPr>
        <w:t>G</w:t>
      </w:r>
      <w:r w:rsidRPr="007E3496">
        <w:rPr>
          <w:rFonts w:eastAsia="Renault Group" w:cs="Times New Roman"/>
          <w:b/>
          <w:sz w:val="38"/>
          <w:szCs w:val="38"/>
          <w:lang w:val="en-US"/>
        </w:rPr>
        <w:t xml:space="preserve">roup </w:t>
      </w:r>
      <w:r w:rsidR="00D15124" w:rsidRPr="007E3496">
        <w:rPr>
          <w:rFonts w:eastAsia="Renault Group" w:cs="Times New Roman"/>
          <w:b/>
          <w:sz w:val="38"/>
          <w:szCs w:val="38"/>
          <w:lang w:val="en-US"/>
        </w:rPr>
        <w:t>deliver</w:t>
      </w:r>
      <w:r w:rsidR="00241172" w:rsidRPr="007E3496">
        <w:rPr>
          <w:rFonts w:eastAsia="Renault Group" w:cs="Times New Roman"/>
          <w:b/>
          <w:sz w:val="38"/>
          <w:szCs w:val="38"/>
          <w:lang w:val="en-US"/>
        </w:rPr>
        <w:t>s</w:t>
      </w:r>
      <w:r w:rsidR="00D15124" w:rsidRPr="007E3496">
        <w:rPr>
          <w:rFonts w:eastAsia="Renault Group" w:cs="Times New Roman"/>
          <w:b/>
          <w:sz w:val="38"/>
          <w:szCs w:val="38"/>
          <w:lang w:val="en-US"/>
        </w:rPr>
        <w:t>:</w:t>
      </w:r>
      <w:r w:rsidRPr="007E3496">
        <w:rPr>
          <w:rFonts w:eastAsia="Renault Group" w:cs="Times New Roman"/>
          <w:b/>
          <w:sz w:val="38"/>
          <w:szCs w:val="38"/>
          <w:lang w:val="en-US"/>
        </w:rPr>
        <w:t xml:space="preserve"> </w:t>
      </w:r>
    </w:p>
    <w:p w14:paraId="29A16144" w14:textId="590119D5" w:rsidR="00D2193F" w:rsidRPr="007E3496" w:rsidRDefault="00CD4636" w:rsidP="00D2193F">
      <w:pPr>
        <w:pStyle w:val="RGTitreCP"/>
        <w:jc w:val="both"/>
        <w:rPr>
          <w:rFonts w:eastAsia="Renault Group" w:cs="Times New Roman"/>
          <w:b/>
          <w:sz w:val="38"/>
          <w:szCs w:val="38"/>
          <w:lang w:val="en-US"/>
        </w:rPr>
      </w:pPr>
      <w:r w:rsidRPr="007E3496">
        <w:rPr>
          <w:rFonts w:eastAsia="Renault Group" w:cs="Times New Roman"/>
          <w:b/>
          <w:sz w:val="38"/>
          <w:szCs w:val="38"/>
          <w:lang w:val="en-US"/>
        </w:rPr>
        <w:t>doubled</w:t>
      </w:r>
      <w:r w:rsidRPr="007E3496" w:rsidDel="00B604DE">
        <w:rPr>
          <w:rFonts w:eastAsia="Renault Group" w:cs="Times New Roman"/>
          <w:b/>
          <w:sz w:val="38"/>
          <w:szCs w:val="38"/>
          <w:lang w:val="en-US"/>
        </w:rPr>
        <w:t xml:space="preserve"> </w:t>
      </w:r>
      <w:r w:rsidR="00BC1AA0" w:rsidRPr="007E3496">
        <w:rPr>
          <w:rFonts w:eastAsia="Renault Group" w:cs="Times New Roman"/>
          <w:b/>
          <w:sz w:val="38"/>
          <w:szCs w:val="38"/>
          <w:lang w:val="en-US"/>
        </w:rPr>
        <w:t>profitability</w:t>
      </w:r>
      <w:r w:rsidR="00D15124" w:rsidRPr="007E3496">
        <w:rPr>
          <w:rFonts w:eastAsia="Renault Group" w:cs="Times New Roman"/>
          <w:b/>
          <w:sz w:val="38"/>
          <w:szCs w:val="38"/>
          <w:lang w:val="en-US"/>
        </w:rPr>
        <w:t>, record</w:t>
      </w:r>
      <w:r w:rsidR="00132015" w:rsidRPr="007E3496">
        <w:rPr>
          <w:rFonts w:eastAsia="Renault Group" w:cs="Times New Roman"/>
          <w:b/>
          <w:sz w:val="38"/>
          <w:szCs w:val="38"/>
          <w:lang w:val="en-US"/>
        </w:rPr>
        <w:t xml:space="preserve"> </w:t>
      </w:r>
      <w:r w:rsidR="003156B1" w:rsidRPr="007E3496">
        <w:rPr>
          <w:rFonts w:eastAsia="Renault Group" w:cs="Times New Roman"/>
          <w:b/>
          <w:sz w:val="38"/>
          <w:szCs w:val="38"/>
          <w:lang w:val="en-US"/>
        </w:rPr>
        <w:t>free cash</w:t>
      </w:r>
      <w:r w:rsidR="00AE4EC1" w:rsidRPr="007E3496">
        <w:rPr>
          <w:rFonts w:eastAsia="Renault Group" w:cs="Times New Roman"/>
          <w:b/>
          <w:sz w:val="38"/>
          <w:szCs w:val="38"/>
          <w:lang w:val="en-US"/>
        </w:rPr>
        <w:t xml:space="preserve"> </w:t>
      </w:r>
      <w:r w:rsidR="003156B1" w:rsidRPr="007E3496">
        <w:rPr>
          <w:rFonts w:eastAsia="Renault Group" w:cs="Times New Roman"/>
          <w:b/>
          <w:sz w:val="38"/>
          <w:szCs w:val="38"/>
          <w:lang w:val="en-US"/>
        </w:rPr>
        <w:t>flow</w:t>
      </w:r>
      <w:r w:rsidR="002C0DA3">
        <w:rPr>
          <w:rFonts w:eastAsia="Renault Group" w:cs="Times New Roman"/>
          <w:b/>
          <w:sz w:val="38"/>
          <w:szCs w:val="38"/>
          <w:lang w:val="en-US"/>
        </w:rPr>
        <w:t xml:space="preserve">, </w:t>
      </w:r>
      <w:r w:rsidR="00AE1A34">
        <w:rPr>
          <w:rFonts w:eastAsia="Renault Group" w:cs="Times New Roman"/>
          <w:b/>
          <w:sz w:val="38"/>
          <w:szCs w:val="38"/>
          <w:lang w:val="en-US"/>
        </w:rPr>
        <w:t>resumed</w:t>
      </w:r>
      <w:r w:rsidR="00D35184">
        <w:rPr>
          <w:rFonts w:eastAsia="Renault Group" w:cs="Times New Roman"/>
          <w:b/>
          <w:sz w:val="38"/>
          <w:szCs w:val="38"/>
          <w:lang w:val="en-US"/>
        </w:rPr>
        <w:t xml:space="preserve"> dividend</w:t>
      </w:r>
      <w:r w:rsidR="009C0B4C" w:rsidRPr="007E3496">
        <w:rPr>
          <w:rFonts w:eastAsia="Renault Group" w:cs="Times New Roman"/>
          <w:b/>
          <w:sz w:val="38"/>
          <w:szCs w:val="38"/>
          <w:lang w:val="en-US"/>
        </w:rPr>
        <w:t xml:space="preserve"> &amp; </w:t>
      </w:r>
      <w:r w:rsidR="007E137E" w:rsidRPr="007E3496">
        <w:rPr>
          <w:rFonts w:eastAsia="Renault Group" w:cs="Times New Roman"/>
          <w:b/>
          <w:sz w:val="38"/>
          <w:szCs w:val="38"/>
          <w:lang w:val="en-US"/>
        </w:rPr>
        <w:t>further</w:t>
      </w:r>
      <w:r w:rsidR="005D5A60">
        <w:rPr>
          <w:rFonts w:eastAsia="Renault Group" w:cs="Times New Roman"/>
          <w:b/>
          <w:sz w:val="38"/>
          <w:szCs w:val="38"/>
          <w:lang w:val="en-US"/>
        </w:rPr>
        <w:t xml:space="preserve"> performance</w:t>
      </w:r>
      <w:r w:rsidR="007E137E" w:rsidRPr="007E3496">
        <w:rPr>
          <w:rFonts w:eastAsia="Renault Group" w:cs="Times New Roman"/>
          <w:b/>
          <w:sz w:val="38"/>
          <w:szCs w:val="38"/>
          <w:lang w:val="en-US"/>
        </w:rPr>
        <w:t xml:space="preserve"> </w:t>
      </w:r>
      <w:r w:rsidR="003156B1" w:rsidRPr="007E3496">
        <w:rPr>
          <w:rFonts w:eastAsia="Renault Group" w:cs="Times New Roman"/>
          <w:b/>
          <w:sz w:val="38"/>
          <w:szCs w:val="38"/>
          <w:lang w:val="en-US"/>
        </w:rPr>
        <w:t xml:space="preserve">improvement expected </w:t>
      </w:r>
      <w:r w:rsidR="00BC1AA0" w:rsidRPr="007E3496">
        <w:rPr>
          <w:rFonts w:eastAsia="Renault Group" w:cs="Times New Roman"/>
          <w:b/>
          <w:sz w:val="38"/>
          <w:szCs w:val="38"/>
          <w:lang w:val="en-US"/>
        </w:rPr>
        <w:t>in</w:t>
      </w:r>
      <w:r w:rsidR="003156B1" w:rsidRPr="007E3496">
        <w:rPr>
          <w:rFonts w:eastAsia="Renault Group" w:cs="Times New Roman"/>
          <w:b/>
          <w:sz w:val="38"/>
          <w:szCs w:val="38"/>
          <w:lang w:val="en-US"/>
        </w:rPr>
        <w:t xml:space="preserve"> 2023</w:t>
      </w:r>
      <w:r w:rsidR="003C431B" w:rsidRPr="007E3496">
        <w:rPr>
          <w:rFonts w:eastAsia="Renault Group" w:cs="Times New Roman"/>
          <w:b/>
          <w:sz w:val="38"/>
          <w:szCs w:val="38"/>
          <w:lang w:val="en-US"/>
        </w:rPr>
        <w:t xml:space="preserve"> </w:t>
      </w:r>
    </w:p>
    <w:p w14:paraId="2F1D4452" w14:textId="2CE9D9B1" w:rsidR="00D2193F" w:rsidRPr="00B157D7" w:rsidRDefault="007E5077" w:rsidP="00D2193F">
      <w:pPr>
        <w:numPr>
          <w:ilvl w:val="0"/>
          <w:numId w:val="1"/>
        </w:numPr>
        <w:spacing w:line="240" w:lineRule="auto"/>
        <w:ind w:left="284"/>
        <w:jc w:val="both"/>
        <w:rPr>
          <w:rFonts w:ascii="Renault Group" w:eastAsia="Renault Group" w:hAnsi="Renault Group" w:cs="Times New Roman"/>
          <w:b/>
          <w:sz w:val="22"/>
          <w:szCs w:val="22"/>
          <w:lang w:val="en-US"/>
        </w:rPr>
      </w:pPr>
      <w:r>
        <w:rPr>
          <w:b/>
          <w:sz w:val="22"/>
          <w:szCs w:val="22"/>
          <w:lang w:val="en"/>
        </w:rPr>
        <w:t>Exceeded</w:t>
      </w:r>
      <w:r w:rsidR="00D2193F">
        <w:rPr>
          <w:b/>
          <w:sz w:val="22"/>
          <w:szCs w:val="22"/>
          <w:lang w:val="en"/>
        </w:rPr>
        <w:t xml:space="preserve"> 2022 FY </w:t>
      </w:r>
      <w:r w:rsidR="00C275B8">
        <w:rPr>
          <w:b/>
          <w:sz w:val="22"/>
          <w:szCs w:val="22"/>
          <w:lang w:val="en"/>
        </w:rPr>
        <w:t>financial outlook</w:t>
      </w:r>
      <w:r w:rsidR="00D2193F">
        <w:rPr>
          <w:b/>
          <w:sz w:val="22"/>
          <w:szCs w:val="22"/>
          <w:lang w:val="en"/>
        </w:rPr>
        <w:t xml:space="preserve"> (upgraded in July 2022) </w:t>
      </w:r>
    </w:p>
    <w:p w14:paraId="10D2D6BB" w14:textId="7C49BB17" w:rsidR="00D2193F" w:rsidRPr="00352FBF" w:rsidRDefault="00D2193F" w:rsidP="00D2193F">
      <w:pPr>
        <w:numPr>
          <w:ilvl w:val="1"/>
          <w:numId w:val="1"/>
        </w:numPr>
        <w:spacing w:before="0" w:line="240" w:lineRule="auto"/>
        <w:ind w:left="851" w:hanging="284"/>
        <w:jc w:val="both"/>
        <w:rPr>
          <w:sz w:val="22"/>
          <w:szCs w:val="22"/>
          <w:lang w:val="en-US"/>
        </w:rPr>
      </w:pPr>
      <w:r>
        <w:rPr>
          <w:sz w:val="22"/>
          <w:szCs w:val="22"/>
          <w:lang w:val="en"/>
        </w:rPr>
        <w:t xml:space="preserve">Significant </w:t>
      </w:r>
      <w:r w:rsidRPr="00773410">
        <w:rPr>
          <w:sz w:val="22"/>
          <w:szCs w:val="22"/>
          <w:lang w:val="en"/>
        </w:rPr>
        <w:t xml:space="preserve">improvement </w:t>
      </w:r>
      <w:r w:rsidRPr="00587A00">
        <w:rPr>
          <w:sz w:val="22"/>
          <w:szCs w:val="22"/>
          <w:lang w:val="en"/>
        </w:rPr>
        <w:t xml:space="preserve">in </w:t>
      </w:r>
      <w:r>
        <w:rPr>
          <w:sz w:val="22"/>
          <w:szCs w:val="22"/>
          <w:lang w:val="en"/>
        </w:rPr>
        <w:t>profitability</w:t>
      </w:r>
      <w:r w:rsidRPr="00587A00">
        <w:rPr>
          <w:sz w:val="22"/>
          <w:szCs w:val="22"/>
          <w:lang w:val="en"/>
        </w:rPr>
        <w:t xml:space="preserve">: </w:t>
      </w:r>
      <w:r>
        <w:rPr>
          <w:sz w:val="22"/>
          <w:szCs w:val="22"/>
          <w:lang w:val="en"/>
        </w:rPr>
        <w:t>5.6</w:t>
      </w:r>
      <w:r w:rsidRPr="009F266E">
        <w:rPr>
          <w:sz w:val="22"/>
          <w:szCs w:val="22"/>
          <w:lang w:val="en"/>
        </w:rPr>
        <w:t>% operating margin</w:t>
      </w:r>
      <w:r>
        <w:rPr>
          <w:sz w:val="22"/>
          <w:szCs w:val="22"/>
          <w:lang w:val="en"/>
        </w:rPr>
        <w:t xml:space="preserve"> vs </w:t>
      </w:r>
      <w:r w:rsidRPr="009F266E">
        <w:rPr>
          <w:sz w:val="22"/>
          <w:szCs w:val="22"/>
          <w:lang w:val="en"/>
        </w:rPr>
        <w:t>a</w:t>
      </w:r>
      <w:r>
        <w:rPr>
          <w:sz w:val="22"/>
          <w:szCs w:val="22"/>
          <w:lang w:val="en"/>
        </w:rPr>
        <w:t xml:space="preserve"> guidance </w:t>
      </w:r>
      <w:r w:rsidRPr="009F266E">
        <w:rPr>
          <w:sz w:val="22"/>
          <w:szCs w:val="22"/>
          <w:lang w:val="en"/>
        </w:rPr>
        <w:t>above 5%</w:t>
      </w:r>
      <w:r>
        <w:rPr>
          <w:sz w:val="22"/>
          <w:szCs w:val="22"/>
          <w:lang w:val="en"/>
        </w:rPr>
        <w:t xml:space="preserve"> and up €1.4bn vs 2021</w:t>
      </w:r>
      <w:r w:rsidR="002E4A59">
        <w:rPr>
          <w:rStyle w:val="Appelnotedebasdep"/>
          <w:sz w:val="22"/>
          <w:szCs w:val="22"/>
          <w:lang w:val="en"/>
        </w:rPr>
        <w:footnoteReference w:id="2"/>
      </w:r>
      <w:r>
        <w:rPr>
          <w:sz w:val="22"/>
          <w:szCs w:val="22"/>
          <w:lang w:val="en"/>
        </w:rPr>
        <w:t xml:space="preserve"> (+2.8 pts) </w:t>
      </w:r>
    </w:p>
    <w:p w14:paraId="222A7AB0" w14:textId="4602653F" w:rsidR="00352FBF" w:rsidRPr="009F266E" w:rsidRDefault="00352FBF" w:rsidP="00D2193F">
      <w:pPr>
        <w:numPr>
          <w:ilvl w:val="1"/>
          <w:numId w:val="1"/>
        </w:numPr>
        <w:spacing w:before="0" w:line="240" w:lineRule="auto"/>
        <w:ind w:left="851" w:hanging="284"/>
        <w:jc w:val="both"/>
        <w:rPr>
          <w:sz w:val="22"/>
          <w:szCs w:val="22"/>
          <w:lang w:val="en-US"/>
        </w:rPr>
      </w:pPr>
      <w:r>
        <w:rPr>
          <w:sz w:val="22"/>
          <w:szCs w:val="22"/>
          <w:lang w:val="en"/>
        </w:rPr>
        <w:t xml:space="preserve">Record </w:t>
      </w:r>
      <w:r w:rsidR="00711395">
        <w:rPr>
          <w:sz w:val="22"/>
          <w:szCs w:val="22"/>
          <w:lang w:val="en"/>
        </w:rPr>
        <w:t xml:space="preserve">Automotive </w:t>
      </w:r>
      <w:r w:rsidR="00754E93">
        <w:rPr>
          <w:sz w:val="22"/>
          <w:szCs w:val="22"/>
          <w:lang w:val="en"/>
        </w:rPr>
        <w:t xml:space="preserve">operating margin per vehicle </w:t>
      </w:r>
    </w:p>
    <w:p w14:paraId="03848EB7" w14:textId="494E99C6" w:rsidR="00D2193F" w:rsidRPr="009F266E" w:rsidRDefault="00884AD6" w:rsidP="00D2193F">
      <w:pPr>
        <w:numPr>
          <w:ilvl w:val="1"/>
          <w:numId w:val="1"/>
        </w:numPr>
        <w:spacing w:before="0" w:line="240" w:lineRule="auto"/>
        <w:ind w:left="851" w:hanging="284"/>
        <w:jc w:val="both"/>
        <w:rPr>
          <w:sz w:val="22"/>
          <w:szCs w:val="22"/>
          <w:lang w:val="en-US"/>
        </w:rPr>
      </w:pPr>
      <w:r>
        <w:rPr>
          <w:sz w:val="22"/>
          <w:szCs w:val="22"/>
          <w:lang w:val="en"/>
        </w:rPr>
        <w:t xml:space="preserve">Record </w:t>
      </w:r>
      <w:r w:rsidR="00D2193F" w:rsidRPr="00587A00">
        <w:rPr>
          <w:sz w:val="22"/>
          <w:szCs w:val="22"/>
          <w:lang w:val="en"/>
        </w:rPr>
        <w:t>free</w:t>
      </w:r>
      <w:r w:rsidR="00D2193F">
        <w:rPr>
          <w:sz w:val="22"/>
          <w:szCs w:val="22"/>
          <w:lang w:val="en"/>
        </w:rPr>
        <w:t xml:space="preserve"> </w:t>
      </w:r>
      <w:r w:rsidR="00D2193F" w:rsidRPr="00587A00">
        <w:rPr>
          <w:sz w:val="22"/>
          <w:szCs w:val="22"/>
          <w:lang w:val="en"/>
        </w:rPr>
        <w:t>cash</w:t>
      </w:r>
      <w:r w:rsidR="00D2193F">
        <w:rPr>
          <w:sz w:val="22"/>
          <w:szCs w:val="22"/>
          <w:lang w:val="en"/>
        </w:rPr>
        <w:t xml:space="preserve"> flow generation</w:t>
      </w:r>
      <w:r w:rsidR="00D2193F" w:rsidRPr="00587A00">
        <w:rPr>
          <w:sz w:val="22"/>
          <w:szCs w:val="22"/>
          <w:lang w:val="en"/>
        </w:rPr>
        <w:t xml:space="preserve">: </w:t>
      </w:r>
      <w:r w:rsidR="00D2193F">
        <w:rPr>
          <w:lang w:val="en"/>
        </w:rPr>
        <w:t xml:space="preserve"> </w:t>
      </w:r>
      <w:r w:rsidR="00D2193F" w:rsidRPr="009D04F4">
        <w:rPr>
          <w:sz w:val="22"/>
          <w:szCs w:val="24"/>
          <w:lang w:val="en"/>
        </w:rPr>
        <w:t>€</w:t>
      </w:r>
      <w:r w:rsidR="00D2193F">
        <w:rPr>
          <w:sz w:val="22"/>
          <w:szCs w:val="22"/>
          <w:lang w:val="en"/>
        </w:rPr>
        <w:t>2.1b</w:t>
      </w:r>
      <w:r w:rsidR="00D2193F" w:rsidRPr="00587A00">
        <w:rPr>
          <w:sz w:val="22"/>
          <w:szCs w:val="22"/>
          <w:lang w:val="en"/>
        </w:rPr>
        <w:t>n</w:t>
      </w:r>
      <w:r w:rsidR="00D2193F" w:rsidRPr="00776990">
        <w:rPr>
          <w:sz w:val="22"/>
          <w:szCs w:val="22"/>
          <w:lang w:val="en"/>
        </w:rPr>
        <w:t xml:space="preserve"> </w:t>
      </w:r>
      <w:r w:rsidR="00D2193F">
        <w:rPr>
          <w:sz w:val="22"/>
          <w:szCs w:val="22"/>
          <w:lang w:val="en"/>
        </w:rPr>
        <w:t>vs</w:t>
      </w:r>
      <w:r w:rsidR="00D2193F" w:rsidRPr="009F266E">
        <w:rPr>
          <w:sz w:val="22"/>
          <w:szCs w:val="22"/>
          <w:lang w:val="en"/>
        </w:rPr>
        <w:t xml:space="preserve"> a</w:t>
      </w:r>
      <w:r w:rsidR="00D2193F">
        <w:rPr>
          <w:sz w:val="22"/>
          <w:szCs w:val="22"/>
          <w:lang w:val="en"/>
        </w:rPr>
        <w:t xml:space="preserve"> guidance</w:t>
      </w:r>
      <w:r w:rsidR="00D2193F" w:rsidRPr="009F266E">
        <w:rPr>
          <w:sz w:val="22"/>
          <w:szCs w:val="22"/>
          <w:lang w:val="en"/>
        </w:rPr>
        <w:t xml:space="preserve"> </w:t>
      </w:r>
      <w:r w:rsidR="00D2193F">
        <w:rPr>
          <w:sz w:val="22"/>
          <w:szCs w:val="22"/>
          <w:lang w:val="en"/>
        </w:rPr>
        <w:t>above</w:t>
      </w:r>
      <w:r w:rsidR="00D2193F" w:rsidRPr="009F266E">
        <w:rPr>
          <w:sz w:val="22"/>
          <w:szCs w:val="22"/>
          <w:lang w:val="en"/>
        </w:rPr>
        <w:t xml:space="preserve"> </w:t>
      </w:r>
      <w:r w:rsidR="00D2193F">
        <w:rPr>
          <w:sz w:val="22"/>
          <w:szCs w:val="22"/>
          <w:lang w:val="en"/>
        </w:rPr>
        <w:t>€1.5bn (+€1.2bn vs 2021</w:t>
      </w:r>
      <w:r w:rsidR="00D2193F" w:rsidRPr="00297550">
        <w:rPr>
          <w:sz w:val="22"/>
          <w:szCs w:val="22"/>
          <w:vertAlign w:val="superscript"/>
          <w:lang w:val="en"/>
        </w:rPr>
        <w:t>1</w:t>
      </w:r>
      <w:r w:rsidR="00D2193F">
        <w:rPr>
          <w:sz w:val="22"/>
          <w:szCs w:val="22"/>
          <w:lang w:val="en"/>
        </w:rPr>
        <w:t>)</w:t>
      </w:r>
    </w:p>
    <w:p w14:paraId="0F63C099" w14:textId="0656DEE1" w:rsidR="00D2193F" w:rsidRPr="00B157D7" w:rsidRDefault="00D2193F" w:rsidP="00D2193F">
      <w:pPr>
        <w:numPr>
          <w:ilvl w:val="1"/>
          <w:numId w:val="1"/>
        </w:numPr>
        <w:spacing w:before="0" w:line="240" w:lineRule="auto"/>
        <w:ind w:left="851" w:hanging="284"/>
        <w:jc w:val="both"/>
        <w:rPr>
          <w:rFonts w:ascii="Renault Group" w:eastAsia="Renault Group" w:hAnsi="Renault Group" w:cs="Times New Roman"/>
          <w:sz w:val="22"/>
          <w:szCs w:val="22"/>
          <w:lang w:val="en-US"/>
        </w:rPr>
      </w:pPr>
      <w:r w:rsidRPr="00587A00">
        <w:rPr>
          <w:sz w:val="22"/>
          <w:szCs w:val="22"/>
          <w:lang w:val="en"/>
        </w:rPr>
        <w:t xml:space="preserve">Strengthening of the financial structure: </w:t>
      </w:r>
      <w:r>
        <w:rPr>
          <w:sz w:val="22"/>
          <w:szCs w:val="22"/>
          <w:lang w:val="en"/>
        </w:rPr>
        <w:t xml:space="preserve">return to </w:t>
      </w:r>
      <w:r w:rsidRPr="00587A00">
        <w:rPr>
          <w:sz w:val="22"/>
          <w:szCs w:val="22"/>
          <w:lang w:val="en"/>
        </w:rPr>
        <w:t xml:space="preserve">net </w:t>
      </w:r>
      <w:r>
        <w:rPr>
          <w:sz w:val="22"/>
          <w:szCs w:val="22"/>
          <w:lang w:val="en"/>
        </w:rPr>
        <w:t>cash financial position at +€</w:t>
      </w:r>
      <w:r w:rsidR="00FA11D6">
        <w:rPr>
          <w:sz w:val="22"/>
          <w:szCs w:val="22"/>
          <w:lang w:val="en"/>
        </w:rPr>
        <w:t>549</w:t>
      </w:r>
      <w:r>
        <w:rPr>
          <w:sz w:val="22"/>
          <w:szCs w:val="22"/>
          <w:lang w:val="en"/>
        </w:rPr>
        <w:t xml:space="preserve">m </w:t>
      </w:r>
      <w:r w:rsidR="0077164F">
        <w:rPr>
          <w:sz w:val="22"/>
          <w:szCs w:val="22"/>
          <w:lang w:val="en"/>
        </w:rPr>
        <w:br/>
      </w:r>
      <w:r>
        <w:rPr>
          <w:sz w:val="22"/>
          <w:szCs w:val="22"/>
          <w:lang w:val="en"/>
        </w:rPr>
        <w:t>at December 31, 2022 (+€1.</w:t>
      </w:r>
      <w:r w:rsidR="00FA11D6">
        <w:rPr>
          <w:sz w:val="22"/>
          <w:szCs w:val="22"/>
          <w:lang w:val="en"/>
        </w:rPr>
        <w:t>6</w:t>
      </w:r>
      <w:r>
        <w:rPr>
          <w:sz w:val="22"/>
          <w:szCs w:val="22"/>
          <w:lang w:val="en"/>
        </w:rPr>
        <w:t>bn vs 2021</w:t>
      </w:r>
      <w:r w:rsidRPr="00297550">
        <w:rPr>
          <w:sz w:val="22"/>
          <w:szCs w:val="22"/>
          <w:vertAlign w:val="superscript"/>
          <w:lang w:val="en"/>
        </w:rPr>
        <w:t>1</w:t>
      </w:r>
      <w:r>
        <w:rPr>
          <w:sz w:val="22"/>
          <w:szCs w:val="22"/>
          <w:lang w:val="en"/>
        </w:rPr>
        <w:t>)</w:t>
      </w:r>
    </w:p>
    <w:p w14:paraId="00E07751" w14:textId="18B0C74D" w:rsidR="00D2193F" w:rsidRPr="00B157D7" w:rsidRDefault="007335FD" w:rsidP="00D2193F">
      <w:pPr>
        <w:numPr>
          <w:ilvl w:val="0"/>
          <w:numId w:val="1"/>
        </w:numPr>
        <w:spacing w:line="240" w:lineRule="auto"/>
        <w:ind w:left="284"/>
        <w:jc w:val="both"/>
        <w:rPr>
          <w:rFonts w:ascii="Renault Group" w:eastAsia="Renault Group" w:hAnsi="Renault Group" w:cs="Times New Roman"/>
          <w:b/>
          <w:sz w:val="22"/>
          <w:szCs w:val="22"/>
          <w:lang w:val="en-US"/>
        </w:rPr>
      </w:pPr>
      <w:r>
        <w:rPr>
          <w:b/>
          <w:sz w:val="22"/>
          <w:szCs w:val="22"/>
          <w:lang w:val="en"/>
        </w:rPr>
        <w:t xml:space="preserve">Orderbook at record levels </w:t>
      </w:r>
      <w:r w:rsidR="00D2193F">
        <w:rPr>
          <w:b/>
          <w:sz w:val="22"/>
          <w:szCs w:val="22"/>
          <w:lang w:val="en"/>
        </w:rPr>
        <w:t>and success of new vehicles</w:t>
      </w:r>
    </w:p>
    <w:p w14:paraId="3E4E07B6" w14:textId="77777777" w:rsidR="00D2193F" w:rsidRPr="00850FF5" w:rsidRDefault="00D2193F" w:rsidP="00D2193F">
      <w:pPr>
        <w:numPr>
          <w:ilvl w:val="0"/>
          <w:numId w:val="1"/>
        </w:numPr>
        <w:spacing w:line="240" w:lineRule="auto"/>
        <w:ind w:left="284"/>
        <w:jc w:val="both"/>
        <w:rPr>
          <w:rFonts w:ascii="Renault Group" w:eastAsia="Renault Group" w:hAnsi="Renault Group" w:cs="Times New Roman"/>
          <w:b/>
          <w:sz w:val="22"/>
          <w:szCs w:val="22"/>
          <w:lang w:val="en-US"/>
        </w:rPr>
      </w:pPr>
      <w:r w:rsidRPr="002E1433">
        <w:rPr>
          <w:b/>
          <w:sz w:val="22"/>
          <w:szCs w:val="22"/>
          <w:lang w:val="en"/>
        </w:rPr>
        <w:t>202</w:t>
      </w:r>
      <w:r>
        <w:rPr>
          <w:b/>
          <w:sz w:val="22"/>
          <w:szCs w:val="22"/>
          <w:lang w:val="en"/>
        </w:rPr>
        <w:t>3 FY</w:t>
      </w:r>
      <w:r w:rsidRPr="002E1433">
        <w:rPr>
          <w:b/>
          <w:sz w:val="22"/>
          <w:szCs w:val="22"/>
          <w:lang w:val="en"/>
        </w:rPr>
        <w:t xml:space="preserve"> </w:t>
      </w:r>
      <w:r>
        <w:rPr>
          <w:b/>
          <w:sz w:val="22"/>
          <w:szCs w:val="22"/>
          <w:lang w:val="en"/>
        </w:rPr>
        <w:t>f</w:t>
      </w:r>
      <w:r w:rsidRPr="002E1433">
        <w:rPr>
          <w:b/>
          <w:sz w:val="22"/>
          <w:szCs w:val="22"/>
          <w:lang w:val="en"/>
        </w:rPr>
        <w:t>inancial</w:t>
      </w:r>
      <w:r>
        <w:rPr>
          <w:lang w:val="en"/>
        </w:rPr>
        <w:t xml:space="preserve"> </w:t>
      </w:r>
      <w:r w:rsidRPr="00467A75">
        <w:rPr>
          <w:b/>
          <w:sz w:val="22"/>
          <w:szCs w:val="22"/>
          <w:lang w:val="en"/>
        </w:rPr>
        <w:t>outlook</w:t>
      </w:r>
      <w:r>
        <w:rPr>
          <w:b/>
          <w:sz w:val="22"/>
          <w:szCs w:val="22"/>
          <w:lang w:val="en"/>
        </w:rPr>
        <w:t xml:space="preserve">: </w:t>
      </w:r>
    </w:p>
    <w:p w14:paraId="528AAE2E" w14:textId="34944FB2" w:rsidR="00D2193F" w:rsidRPr="00D32225" w:rsidRDefault="00D2193F" w:rsidP="00D2193F">
      <w:pPr>
        <w:numPr>
          <w:ilvl w:val="1"/>
          <w:numId w:val="1"/>
        </w:numPr>
        <w:spacing w:before="0" w:line="240" w:lineRule="auto"/>
        <w:ind w:left="851" w:hanging="284"/>
        <w:jc w:val="both"/>
        <w:rPr>
          <w:sz w:val="22"/>
          <w:szCs w:val="22"/>
          <w:lang w:val="en"/>
        </w:rPr>
      </w:pPr>
      <w:r w:rsidRPr="00D32225">
        <w:rPr>
          <w:sz w:val="22"/>
          <w:szCs w:val="22"/>
          <w:lang w:val="en"/>
        </w:rPr>
        <w:t xml:space="preserve">Group operating margin superior or equal to </w:t>
      </w:r>
      <w:r w:rsidR="000D53C4">
        <w:rPr>
          <w:sz w:val="22"/>
          <w:szCs w:val="22"/>
          <w:lang w:val="en"/>
        </w:rPr>
        <w:t>6</w:t>
      </w:r>
      <w:r w:rsidRPr="00D32225">
        <w:rPr>
          <w:sz w:val="22"/>
          <w:szCs w:val="22"/>
          <w:lang w:val="en"/>
        </w:rPr>
        <w:t xml:space="preserve">% </w:t>
      </w:r>
    </w:p>
    <w:p w14:paraId="2D48F095" w14:textId="0CF7201F" w:rsidR="00D2193F" w:rsidRPr="00850FF5" w:rsidRDefault="00D2193F" w:rsidP="00D2193F">
      <w:pPr>
        <w:numPr>
          <w:ilvl w:val="1"/>
          <w:numId w:val="1"/>
        </w:numPr>
        <w:spacing w:before="0" w:line="240" w:lineRule="auto"/>
        <w:ind w:left="851" w:hanging="284"/>
        <w:jc w:val="both"/>
        <w:rPr>
          <w:rFonts w:ascii="Renault Group" w:eastAsia="Renault Group" w:hAnsi="Renault Group" w:cs="Times New Roman"/>
          <w:color w:val="FF0000"/>
          <w:sz w:val="22"/>
          <w:szCs w:val="22"/>
          <w:lang w:val="en-US"/>
        </w:rPr>
      </w:pPr>
      <w:r w:rsidRPr="00D32225">
        <w:rPr>
          <w:sz w:val="22"/>
          <w:szCs w:val="22"/>
          <w:lang w:val="en"/>
        </w:rPr>
        <w:t>Automotive</w:t>
      </w:r>
      <w:r w:rsidRPr="00D22BB1">
        <w:rPr>
          <w:rFonts w:ascii="Renault Group" w:eastAsia="Renault Group" w:hAnsi="Renault Group" w:cs="Times New Roman"/>
          <w:sz w:val="22"/>
          <w:szCs w:val="22"/>
          <w:lang w:val="en-US"/>
        </w:rPr>
        <w:t xml:space="preserve"> operational</w:t>
      </w:r>
      <w:r w:rsidRPr="00D22BB1">
        <w:rPr>
          <w:rFonts w:ascii="Renault Group" w:eastAsia="Renault Group" w:hAnsi="Renault Group" w:cs="Times New Roman"/>
          <w:sz w:val="22"/>
          <w:szCs w:val="22"/>
          <w:lang w:val="en"/>
        </w:rPr>
        <w:t xml:space="preserve"> free cash flow superior or equal to </w:t>
      </w:r>
      <w:r w:rsidRPr="00D32225">
        <w:rPr>
          <w:rFonts w:ascii="Renault Group" w:eastAsia="Renault Group" w:hAnsi="Renault Group" w:cs="Times New Roman"/>
          <w:sz w:val="22"/>
          <w:szCs w:val="22"/>
          <w:lang w:val="en"/>
        </w:rPr>
        <w:t>€</w:t>
      </w:r>
      <w:r w:rsidR="000D53C4">
        <w:rPr>
          <w:rFonts w:ascii="Renault Group" w:eastAsia="Renault Group" w:hAnsi="Renault Group" w:cs="Times New Roman"/>
          <w:sz w:val="22"/>
          <w:szCs w:val="22"/>
          <w:lang w:val="en"/>
        </w:rPr>
        <w:t>2</w:t>
      </w:r>
      <w:r w:rsidRPr="00D32225">
        <w:rPr>
          <w:rFonts w:ascii="Renault Group" w:eastAsia="Renault Group" w:hAnsi="Renault Group" w:cs="Times New Roman"/>
          <w:sz w:val="22"/>
          <w:szCs w:val="22"/>
          <w:lang w:val="en"/>
        </w:rPr>
        <w:t>bn</w:t>
      </w:r>
      <w:r w:rsidRPr="00E96566">
        <w:rPr>
          <w:rFonts w:ascii="Renault Group" w:eastAsia="Renault Group" w:hAnsi="Renault Group" w:cs="Times New Roman"/>
          <w:sz w:val="22"/>
          <w:szCs w:val="22"/>
          <w:lang w:val="en"/>
        </w:rPr>
        <w:t xml:space="preserve"> </w:t>
      </w:r>
    </w:p>
    <w:p w14:paraId="62423DBF" w14:textId="5C35FBEF" w:rsidR="00D2193F" w:rsidRDefault="00D2193F" w:rsidP="00D2193F">
      <w:pPr>
        <w:numPr>
          <w:ilvl w:val="0"/>
          <w:numId w:val="1"/>
        </w:numPr>
        <w:spacing w:line="240" w:lineRule="auto"/>
        <w:ind w:left="284"/>
        <w:jc w:val="both"/>
        <w:rPr>
          <w:b/>
          <w:sz w:val="22"/>
          <w:szCs w:val="22"/>
          <w:lang w:val="en"/>
        </w:rPr>
      </w:pPr>
      <w:r>
        <w:rPr>
          <w:b/>
          <w:sz w:val="22"/>
          <w:szCs w:val="22"/>
          <w:lang w:val="en"/>
        </w:rPr>
        <w:t>A dividend of €0.</w:t>
      </w:r>
      <w:r w:rsidR="00E70C04">
        <w:rPr>
          <w:b/>
          <w:sz w:val="22"/>
          <w:szCs w:val="22"/>
          <w:lang w:val="en"/>
        </w:rPr>
        <w:t>2</w:t>
      </w:r>
      <w:r w:rsidR="00C261E3">
        <w:rPr>
          <w:b/>
          <w:sz w:val="22"/>
          <w:szCs w:val="22"/>
          <w:lang w:val="en"/>
        </w:rPr>
        <w:t>5</w:t>
      </w:r>
      <w:r>
        <w:rPr>
          <w:b/>
          <w:sz w:val="22"/>
          <w:szCs w:val="22"/>
          <w:lang w:val="en"/>
        </w:rPr>
        <w:t xml:space="preserve"> will be proposed to the vote of the </w:t>
      </w:r>
      <w:r w:rsidRPr="001330EC">
        <w:rPr>
          <w:b/>
          <w:sz w:val="22"/>
          <w:szCs w:val="22"/>
          <w:lang w:val="en"/>
        </w:rPr>
        <w:t>Annual General Meeting</w:t>
      </w:r>
      <w:r>
        <w:rPr>
          <w:b/>
          <w:sz w:val="22"/>
          <w:szCs w:val="22"/>
          <w:lang w:val="en"/>
        </w:rPr>
        <w:t xml:space="preserve"> on May 11, 2023</w:t>
      </w:r>
    </w:p>
    <w:p w14:paraId="514D282B" w14:textId="77777777" w:rsidR="002C4A81" w:rsidRPr="004435DC" w:rsidRDefault="002C4A81" w:rsidP="002C4A81">
      <w:pPr>
        <w:spacing w:line="240" w:lineRule="auto"/>
        <w:ind w:left="284"/>
        <w:jc w:val="both"/>
        <w:rPr>
          <w:b/>
          <w:sz w:val="22"/>
          <w:szCs w:val="22"/>
          <w:lang w:val="en"/>
        </w:rPr>
      </w:pPr>
    </w:p>
    <w:p w14:paraId="2247BC61" w14:textId="5CD79D56" w:rsidR="00D2193F" w:rsidRDefault="00D2193F" w:rsidP="00D2193F">
      <w:pPr>
        <w:spacing w:before="240" w:line="240" w:lineRule="auto"/>
        <w:jc w:val="both"/>
        <w:rPr>
          <w:rFonts w:ascii="Renault Group Semibold" w:eastAsia="Renault Group" w:hAnsi="Renault Group Semibold" w:cs="Times New Roman"/>
          <w:i/>
          <w:iCs/>
          <w:sz w:val="22"/>
          <w:szCs w:val="22"/>
          <w:lang w:val="en-US"/>
        </w:rPr>
      </w:pPr>
      <w:r w:rsidRPr="00F64C82">
        <w:rPr>
          <w:rFonts w:ascii="Renault Group Semibold" w:eastAsia="Renault Group" w:hAnsi="Renault Group Semibold" w:cs="Times New Roman"/>
          <w:i/>
          <w:iCs/>
          <w:sz w:val="22"/>
          <w:szCs w:val="22"/>
          <w:lang w:val="en-US"/>
        </w:rPr>
        <w:t>“2022 has more than kept its promises: with results above our initial objectives and market expectations, we complet</w:t>
      </w:r>
      <w:r>
        <w:rPr>
          <w:rFonts w:ascii="Renault Group Semibold" w:eastAsia="Renault Group" w:hAnsi="Renault Group Semibold" w:cs="Times New Roman"/>
          <w:i/>
          <w:iCs/>
          <w:sz w:val="22"/>
          <w:szCs w:val="22"/>
          <w:lang w:val="en-US"/>
        </w:rPr>
        <w:t>ed</w:t>
      </w:r>
      <w:r w:rsidRPr="00F64C82">
        <w:rPr>
          <w:rFonts w:ascii="Renault Group Semibold" w:eastAsia="Renault Group" w:hAnsi="Renault Group Semibold" w:cs="Times New Roman"/>
          <w:i/>
          <w:iCs/>
          <w:sz w:val="22"/>
          <w:szCs w:val="22"/>
          <w:lang w:val="en-US"/>
        </w:rPr>
        <w:t xml:space="preserve"> the "Resurrection" phase </w:t>
      </w:r>
      <w:r w:rsidR="005471F8">
        <w:rPr>
          <w:rFonts w:ascii="Renault Group Semibold" w:eastAsia="Renault Group" w:hAnsi="Renault Group Semibold" w:cs="Times New Roman"/>
          <w:i/>
          <w:iCs/>
          <w:sz w:val="22"/>
          <w:szCs w:val="22"/>
          <w:lang w:val="en-US"/>
        </w:rPr>
        <w:t>three</w:t>
      </w:r>
      <w:r w:rsidRPr="00F64C82">
        <w:rPr>
          <w:rFonts w:ascii="Renault Group Semibold" w:eastAsia="Renault Group" w:hAnsi="Renault Group Semibold" w:cs="Times New Roman"/>
          <w:i/>
          <w:iCs/>
          <w:sz w:val="22"/>
          <w:szCs w:val="22"/>
          <w:lang w:val="en-US"/>
        </w:rPr>
        <w:t xml:space="preserve"> years ahead of schedule. </w:t>
      </w:r>
      <w:r w:rsidR="00251A7E" w:rsidRPr="00251A7E">
        <w:rPr>
          <w:rFonts w:ascii="Renault Group Semibold" w:eastAsia="Renault Group" w:hAnsi="Renault Group Semibold" w:cs="Times New Roman"/>
          <w:i/>
          <w:iCs/>
          <w:sz w:val="22"/>
          <w:szCs w:val="22"/>
          <w:lang w:val="en-US"/>
        </w:rPr>
        <w:t xml:space="preserve">This performance </w:t>
      </w:r>
      <w:r w:rsidR="007F4102">
        <w:rPr>
          <w:rFonts w:ascii="Renault Group Semibold" w:eastAsia="Renault Group" w:hAnsi="Renault Group Semibold" w:cs="Times New Roman"/>
          <w:i/>
          <w:iCs/>
          <w:sz w:val="22"/>
          <w:szCs w:val="22"/>
          <w:lang w:val="en-US"/>
        </w:rPr>
        <w:t xml:space="preserve">reflects </w:t>
      </w:r>
      <w:r w:rsidR="00251A7E" w:rsidRPr="00251A7E">
        <w:rPr>
          <w:rFonts w:ascii="Renault Group Semibold" w:eastAsia="Renault Group" w:hAnsi="Renault Group Semibold" w:cs="Times New Roman"/>
          <w:i/>
          <w:iCs/>
          <w:sz w:val="22"/>
          <w:szCs w:val="22"/>
          <w:lang w:val="en-US"/>
        </w:rPr>
        <w:t xml:space="preserve">the </w:t>
      </w:r>
      <w:r w:rsidR="0009486E">
        <w:rPr>
          <w:rFonts w:ascii="Renault Group Semibold" w:eastAsia="Renault Group" w:hAnsi="Renault Group Semibold" w:cs="Times New Roman"/>
          <w:i/>
          <w:iCs/>
          <w:sz w:val="22"/>
          <w:szCs w:val="22"/>
          <w:lang w:val="en-US"/>
        </w:rPr>
        <w:t>energy</w:t>
      </w:r>
      <w:r w:rsidR="00251A7E" w:rsidRPr="00251A7E">
        <w:rPr>
          <w:rFonts w:ascii="Renault Group Semibold" w:eastAsia="Renault Group" w:hAnsi="Renault Group Semibold" w:cs="Times New Roman"/>
          <w:i/>
          <w:iCs/>
          <w:sz w:val="22"/>
          <w:szCs w:val="22"/>
          <w:lang w:val="en-US"/>
        </w:rPr>
        <w:t xml:space="preserve"> and hard work of the Renault Group</w:t>
      </w:r>
      <w:r w:rsidR="00653205">
        <w:rPr>
          <w:rFonts w:ascii="Renault Group Semibold" w:eastAsia="Renault Group" w:hAnsi="Renault Group Semibold" w:cs="Times New Roman"/>
          <w:i/>
          <w:iCs/>
          <w:sz w:val="22"/>
          <w:szCs w:val="22"/>
          <w:lang w:val="en-US"/>
        </w:rPr>
        <w:t>’s</w:t>
      </w:r>
      <w:r w:rsidR="00251A7E" w:rsidRPr="00251A7E">
        <w:rPr>
          <w:rFonts w:ascii="Renault Group Semibold" w:eastAsia="Renault Group" w:hAnsi="Renault Group Semibold" w:cs="Times New Roman"/>
          <w:i/>
          <w:iCs/>
          <w:sz w:val="22"/>
          <w:szCs w:val="22"/>
          <w:lang w:val="en-US"/>
        </w:rPr>
        <w:t xml:space="preserve"> teams</w:t>
      </w:r>
      <w:r w:rsidRPr="00F64C82">
        <w:rPr>
          <w:rFonts w:ascii="Renault Group Semibold" w:eastAsia="Renault Group" w:hAnsi="Renault Group Semibold" w:cs="Times New Roman"/>
          <w:i/>
          <w:iCs/>
          <w:sz w:val="22"/>
          <w:szCs w:val="22"/>
          <w:lang w:val="en-US"/>
        </w:rPr>
        <w:t xml:space="preserve"> even as </w:t>
      </w:r>
      <w:r w:rsidR="005B568C">
        <w:rPr>
          <w:rFonts w:ascii="Renault Group Semibold" w:eastAsia="Renault Group" w:hAnsi="Renault Group Semibold" w:cs="Times New Roman"/>
          <w:i/>
          <w:iCs/>
          <w:sz w:val="22"/>
          <w:szCs w:val="22"/>
          <w:lang w:val="en-US"/>
        </w:rPr>
        <w:t>we</w:t>
      </w:r>
      <w:r w:rsidRPr="00F64C82">
        <w:rPr>
          <w:rFonts w:ascii="Renault Group Semibold" w:eastAsia="Renault Group" w:hAnsi="Renault Group Semibold" w:cs="Times New Roman"/>
          <w:i/>
          <w:iCs/>
          <w:sz w:val="22"/>
          <w:szCs w:val="22"/>
          <w:lang w:val="en-US"/>
        </w:rPr>
        <w:t xml:space="preserve"> ha</w:t>
      </w:r>
      <w:r w:rsidR="005B568C">
        <w:rPr>
          <w:rFonts w:ascii="Renault Group Semibold" w:eastAsia="Renault Group" w:hAnsi="Renault Group Semibold" w:cs="Times New Roman"/>
          <w:i/>
          <w:iCs/>
          <w:sz w:val="22"/>
          <w:szCs w:val="22"/>
          <w:lang w:val="en-US"/>
        </w:rPr>
        <w:t>ve</w:t>
      </w:r>
      <w:r w:rsidRPr="00F64C82">
        <w:rPr>
          <w:rFonts w:ascii="Renault Group Semibold" w:eastAsia="Renault Group" w:hAnsi="Renault Group Semibold" w:cs="Times New Roman"/>
          <w:i/>
          <w:iCs/>
          <w:sz w:val="22"/>
          <w:szCs w:val="22"/>
          <w:lang w:val="en-US"/>
        </w:rPr>
        <w:t xml:space="preserve"> faced strong headwinds related to the </w:t>
      </w:r>
      <w:r w:rsidR="00364526">
        <w:rPr>
          <w:rFonts w:ascii="Renault Group Semibold" w:eastAsia="Renault Group" w:hAnsi="Renault Group Semibold" w:cs="Times New Roman"/>
          <w:i/>
          <w:iCs/>
          <w:sz w:val="22"/>
          <w:szCs w:val="22"/>
          <w:lang w:val="en-US"/>
        </w:rPr>
        <w:t xml:space="preserve">disposal </w:t>
      </w:r>
      <w:r w:rsidRPr="00F64C82">
        <w:rPr>
          <w:rFonts w:ascii="Renault Group Semibold" w:eastAsia="Renault Group" w:hAnsi="Renault Group Semibold" w:cs="Times New Roman"/>
          <w:i/>
          <w:iCs/>
          <w:sz w:val="22"/>
          <w:szCs w:val="22"/>
          <w:lang w:val="en-US"/>
        </w:rPr>
        <w:t xml:space="preserve">of our operations in Russia, the semiconductor crisis and cost inflation. </w:t>
      </w:r>
      <w:r>
        <w:rPr>
          <w:rFonts w:ascii="Renault Group Semibold" w:eastAsia="Renault Group" w:hAnsi="Renault Group Semibold" w:cs="Times New Roman"/>
          <w:i/>
          <w:iCs/>
          <w:sz w:val="22"/>
          <w:szCs w:val="22"/>
          <w:lang w:val="en-US"/>
        </w:rPr>
        <w:t>Renault</w:t>
      </w:r>
      <w:r w:rsidRPr="00F64C82">
        <w:rPr>
          <w:rFonts w:ascii="Renault Group Semibold" w:eastAsia="Renault Group" w:hAnsi="Renault Group Semibold" w:cs="Times New Roman"/>
          <w:i/>
          <w:iCs/>
          <w:sz w:val="22"/>
          <w:szCs w:val="22"/>
          <w:lang w:val="en-US"/>
        </w:rPr>
        <w:t xml:space="preserve"> Group’s fundamentals have been thoroughly cleaned</w:t>
      </w:r>
      <w:r>
        <w:rPr>
          <w:rFonts w:ascii="Renault Group Semibold" w:eastAsia="Renault Group" w:hAnsi="Renault Group Semibold" w:cs="Times New Roman"/>
          <w:i/>
          <w:iCs/>
          <w:sz w:val="22"/>
          <w:szCs w:val="22"/>
          <w:lang w:val="en-US"/>
        </w:rPr>
        <w:t xml:space="preserve"> </w:t>
      </w:r>
      <w:r w:rsidRPr="00F64C82">
        <w:rPr>
          <w:rFonts w:ascii="Renault Group Semibold" w:eastAsia="Renault Group" w:hAnsi="Renault Group Semibold" w:cs="Times New Roman"/>
          <w:i/>
          <w:iCs/>
          <w:sz w:val="22"/>
          <w:szCs w:val="22"/>
          <w:lang w:val="en-US"/>
        </w:rPr>
        <w:t>up and there will be no turning back. 2023 financial outlook and the return of a dividend illustrate this.</w:t>
      </w:r>
      <w:r w:rsidR="00BE0421" w:rsidRPr="00BE0421">
        <w:rPr>
          <w:lang w:val="en-US"/>
        </w:rPr>
        <w:t xml:space="preserve"> </w:t>
      </w:r>
      <w:r w:rsidR="00BE0421" w:rsidRPr="00BE0421">
        <w:rPr>
          <w:rFonts w:ascii="Renault Group Semibold" w:eastAsia="Renault Group" w:hAnsi="Renault Group Semibold" w:cs="Times New Roman"/>
          <w:i/>
          <w:iCs/>
          <w:sz w:val="22"/>
          <w:szCs w:val="22"/>
          <w:lang w:val="en-US"/>
        </w:rPr>
        <w:t xml:space="preserve">In addition, we have achieved our </w:t>
      </w:r>
      <w:r w:rsidR="0098291C">
        <w:rPr>
          <w:rFonts w:ascii="Renault Group Semibold" w:eastAsia="Renault Group" w:hAnsi="Renault Group Semibold" w:cs="Times New Roman"/>
          <w:i/>
          <w:iCs/>
          <w:sz w:val="22"/>
          <w:szCs w:val="22"/>
          <w:lang w:val="en-US"/>
        </w:rPr>
        <w:t>target</w:t>
      </w:r>
      <w:r w:rsidR="00BE0421" w:rsidRPr="00BE0421">
        <w:rPr>
          <w:rFonts w:ascii="Renault Group Semibold" w:eastAsia="Renault Group" w:hAnsi="Renault Group Semibold" w:cs="Times New Roman"/>
          <w:i/>
          <w:iCs/>
          <w:sz w:val="22"/>
          <w:szCs w:val="22"/>
          <w:lang w:val="en-US"/>
        </w:rPr>
        <w:t xml:space="preserve"> of a 25% reduction of our global carbon footprint since 2010.</w:t>
      </w:r>
    </w:p>
    <w:p w14:paraId="038F6762" w14:textId="5D85C4B9" w:rsidR="00586B3F" w:rsidRDefault="006746C3" w:rsidP="009B5264">
      <w:pPr>
        <w:spacing w:line="240" w:lineRule="auto"/>
        <w:jc w:val="both"/>
        <w:rPr>
          <w:rFonts w:ascii="Renault Group Semibold" w:eastAsia="Renault Group" w:hAnsi="Renault Group Semibold" w:cs="Times New Roman"/>
          <w:i/>
          <w:iCs/>
          <w:sz w:val="22"/>
          <w:szCs w:val="22"/>
          <w:lang w:val="en-US"/>
        </w:rPr>
      </w:pPr>
      <w:r w:rsidRPr="006746C3">
        <w:rPr>
          <w:rFonts w:ascii="Renault Group Semibold" w:eastAsia="Renault Group" w:hAnsi="Renault Group Semibold" w:cs="Times New Roman"/>
          <w:i/>
          <w:iCs/>
          <w:sz w:val="22"/>
          <w:szCs w:val="22"/>
          <w:lang w:val="en-US"/>
        </w:rPr>
        <w:t>I would like to thank the teams for these good results. We have confidence in the future of the Group. The outstanding participation of our employees in the shareholding plan illustrates this and makes me particularly proud.</w:t>
      </w:r>
    </w:p>
    <w:p w14:paraId="35128F9C" w14:textId="3A590130" w:rsidR="00D2193F" w:rsidRPr="00F64C82" w:rsidRDefault="00D2193F" w:rsidP="009B5264">
      <w:pPr>
        <w:spacing w:line="240" w:lineRule="auto"/>
        <w:jc w:val="both"/>
        <w:rPr>
          <w:rFonts w:ascii="Renault Group Semibold" w:eastAsia="Renault Group" w:hAnsi="Renault Group Semibold" w:cs="Times New Roman"/>
          <w:i/>
          <w:iCs/>
          <w:sz w:val="22"/>
          <w:szCs w:val="22"/>
          <w:lang w:val="en-US"/>
        </w:rPr>
      </w:pPr>
      <w:r w:rsidRPr="00F64C82">
        <w:rPr>
          <w:rFonts w:ascii="Renault Group Semibold" w:eastAsia="Renault Group" w:hAnsi="Renault Group Semibold" w:cs="Times New Roman"/>
          <w:i/>
          <w:iCs/>
          <w:sz w:val="22"/>
          <w:szCs w:val="22"/>
          <w:lang w:val="en-US"/>
        </w:rPr>
        <w:t xml:space="preserve">The second phase of the plan, "Renovation", focused on products, is already largely under way and will allow </w:t>
      </w:r>
      <w:r>
        <w:rPr>
          <w:rFonts w:ascii="Renault Group Semibold" w:eastAsia="Renault Group" w:hAnsi="Renault Group Semibold" w:cs="Times New Roman"/>
          <w:i/>
          <w:iCs/>
          <w:sz w:val="22"/>
          <w:szCs w:val="22"/>
          <w:lang w:val="en-US"/>
        </w:rPr>
        <w:t>Renault</w:t>
      </w:r>
      <w:r w:rsidRPr="00F64C82">
        <w:rPr>
          <w:rFonts w:ascii="Renault Group Semibold" w:eastAsia="Renault Group" w:hAnsi="Renault Group Semibold" w:cs="Times New Roman"/>
          <w:i/>
          <w:iCs/>
          <w:sz w:val="22"/>
          <w:szCs w:val="22"/>
          <w:lang w:val="en-US"/>
        </w:rPr>
        <w:t xml:space="preserve"> Group to have </w:t>
      </w:r>
      <w:r w:rsidR="00073E62">
        <w:rPr>
          <w:rFonts w:ascii="Renault Group Semibold" w:eastAsia="Renault Group" w:hAnsi="Renault Group Semibold" w:cs="Times New Roman"/>
          <w:i/>
          <w:iCs/>
          <w:sz w:val="22"/>
          <w:szCs w:val="22"/>
          <w:lang w:val="en-US"/>
        </w:rPr>
        <w:t>its</w:t>
      </w:r>
      <w:r w:rsidRPr="00F64C82">
        <w:rPr>
          <w:rFonts w:ascii="Renault Group Semibold" w:eastAsia="Renault Group" w:hAnsi="Renault Group Semibold" w:cs="Times New Roman"/>
          <w:i/>
          <w:iCs/>
          <w:sz w:val="22"/>
          <w:szCs w:val="22"/>
          <w:lang w:val="en-US"/>
        </w:rPr>
        <w:t xml:space="preserve"> best vehicles line-up </w:t>
      </w:r>
      <w:r>
        <w:rPr>
          <w:rFonts w:ascii="Renault Group Semibold" w:eastAsia="Renault Group" w:hAnsi="Renault Group Semibold" w:cs="Times New Roman"/>
          <w:i/>
          <w:iCs/>
          <w:sz w:val="22"/>
          <w:szCs w:val="22"/>
          <w:lang w:val="en-US"/>
        </w:rPr>
        <w:t>in</w:t>
      </w:r>
      <w:r w:rsidRPr="00F64C82">
        <w:rPr>
          <w:rFonts w:ascii="Renault Group Semibold" w:eastAsia="Renault Group" w:hAnsi="Renault Group Semibold" w:cs="Times New Roman"/>
          <w:i/>
          <w:iCs/>
          <w:sz w:val="22"/>
          <w:szCs w:val="22"/>
          <w:lang w:val="en-US"/>
        </w:rPr>
        <w:t xml:space="preserve"> 30 years. The successes of </w:t>
      </w:r>
      <w:r>
        <w:rPr>
          <w:rFonts w:ascii="Renault Group Semibold" w:eastAsia="Renault Group" w:hAnsi="Renault Group Semibold" w:cs="Times New Roman"/>
          <w:i/>
          <w:iCs/>
          <w:sz w:val="22"/>
          <w:szCs w:val="22"/>
          <w:lang w:val="en-US"/>
        </w:rPr>
        <w:t xml:space="preserve">Renault </w:t>
      </w:r>
      <w:r w:rsidRPr="00F64C82">
        <w:rPr>
          <w:rFonts w:ascii="Renault Group Semibold" w:eastAsia="Renault Group" w:hAnsi="Renault Group Semibold" w:cs="Times New Roman"/>
          <w:i/>
          <w:iCs/>
          <w:sz w:val="22"/>
          <w:szCs w:val="22"/>
          <w:lang w:val="en-US"/>
        </w:rPr>
        <w:t>Megane E</w:t>
      </w:r>
      <w:r>
        <w:rPr>
          <w:rFonts w:ascii="Renault Group Semibold" w:eastAsia="Renault Group" w:hAnsi="Renault Group Semibold" w:cs="Times New Roman"/>
          <w:i/>
          <w:iCs/>
          <w:sz w:val="22"/>
          <w:szCs w:val="22"/>
          <w:lang w:val="en-US"/>
        </w:rPr>
        <w:noBreakHyphen/>
      </w:r>
      <w:r w:rsidRPr="00F64C82">
        <w:rPr>
          <w:rFonts w:ascii="Renault Group Semibold" w:eastAsia="Renault Group" w:hAnsi="Renault Group Semibold" w:cs="Times New Roman"/>
          <w:i/>
          <w:iCs/>
          <w:sz w:val="22"/>
          <w:szCs w:val="22"/>
          <w:lang w:val="en-US"/>
        </w:rPr>
        <w:t>TECH Electric</w:t>
      </w:r>
      <w:r w:rsidR="007B0439">
        <w:rPr>
          <w:rFonts w:ascii="Renault Group Semibold" w:eastAsia="Renault Group" w:hAnsi="Renault Group Semibold" w:cs="Times New Roman"/>
          <w:i/>
          <w:iCs/>
          <w:sz w:val="22"/>
          <w:szCs w:val="22"/>
          <w:lang w:val="en-US"/>
        </w:rPr>
        <w:t>,</w:t>
      </w:r>
      <w:r w:rsidRPr="00F64C82">
        <w:rPr>
          <w:rFonts w:ascii="Renault Group Semibold" w:eastAsia="Renault Group" w:hAnsi="Renault Group Semibold" w:cs="Times New Roman"/>
          <w:i/>
          <w:iCs/>
          <w:sz w:val="22"/>
          <w:szCs w:val="22"/>
          <w:lang w:val="en-US"/>
        </w:rPr>
        <w:t xml:space="preserve"> </w:t>
      </w:r>
      <w:r>
        <w:rPr>
          <w:rFonts w:ascii="Renault Group Semibold" w:eastAsia="Renault Group" w:hAnsi="Renault Group Semibold" w:cs="Times New Roman"/>
          <w:i/>
          <w:iCs/>
          <w:sz w:val="22"/>
          <w:szCs w:val="22"/>
          <w:lang w:val="en-US"/>
        </w:rPr>
        <w:t xml:space="preserve">Renault </w:t>
      </w:r>
      <w:r w:rsidRPr="00F64C82">
        <w:rPr>
          <w:rFonts w:ascii="Renault Group Semibold" w:eastAsia="Renault Group" w:hAnsi="Renault Group Semibold" w:cs="Times New Roman"/>
          <w:i/>
          <w:iCs/>
          <w:sz w:val="22"/>
          <w:szCs w:val="22"/>
          <w:lang w:val="en-US"/>
        </w:rPr>
        <w:t xml:space="preserve">Austral </w:t>
      </w:r>
      <w:r>
        <w:rPr>
          <w:rFonts w:ascii="Renault Group Semibold" w:eastAsia="Renault Group" w:hAnsi="Renault Group Semibold" w:cs="Times New Roman"/>
          <w:i/>
          <w:iCs/>
          <w:sz w:val="22"/>
          <w:szCs w:val="22"/>
          <w:lang w:val="en-US"/>
        </w:rPr>
        <w:t xml:space="preserve">and Dacia Jogger </w:t>
      </w:r>
      <w:r w:rsidRPr="00F64C82">
        <w:rPr>
          <w:rFonts w:ascii="Renault Group Semibold" w:eastAsia="Renault Group" w:hAnsi="Renault Group Semibold" w:cs="Times New Roman"/>
          <w:i/>
          <w:iCs/>
          <w:sz w:val="22"/>
          <w:szCs w:val="22"/>
          <w:lang w:val="en-US"/>
        </w:rPr>
        <w:t>are the first of this wave.</w:t>
      </w:r>
    </w:p>
    <w:p w14:paraId="074BD6F3" w14:textId="77777777" w:rsidR="009A7A9B" w:rsidRDefault="00D2193F" w:rsidP="00D2193F">
      <w:pPr>
        <w:spacing w:line="240" w:lineRule="auto"/>
        <w:jc w:val="both"/>
        <w:rPr>
          <w:rFonts w:ascii="Renault Group Semibold" w:eastAsia="Renault Group" w:hAnsi="Renault Group Semibold" w:cs="Times New Roman"/>
          <w:i/>
          <w:iCs/>
          <w:sz w:val="22"/>
          <w:szCs w:val="22"/>
          <w:lang w:val="en-US"/>
        </w:rPr>
      </w:pPr>
      <w:r w:rsidRPr="00F64C82">
        <w:rPr>
          <w:rFonts w:ascii="Renault Group Semibold" w:eastAsia="Renault Group" w:hAnsi="Renault Group Semibold" w:cs="Times New Roman"/>
          <w:i/>
          <w:iCs/>
          <w:sz w:val="22"/>
          <w:szCs w:val="22"/>
          <w:lang w:val="en-US"/>
        </w:rPr>
        <w:t xml:space="preserve">Our advance in the implementation of Renaulution's first strategic and financial milestones allows us to open, as of today, the most exciting chapter of our plan: "Revolution". </w:t>
      </w:r>
    </w:p>
    <w:p w14:paraId="1049224D" w14:textId="5F1B9313" w:rsidR="00763C51" w:rsidRDefault="00763C51" w:rsidP="00D2193F">
      <w:pPr>
        <w:spacing w:line="240" w:lineRule="auto"/>
        <w:jc w:val="both"/>
        <w:rPr>
          <w:rFonts w:ascii="Renault Group Semibold" w:eastAsia="Renault Group" w:hAnsi="Renault Group Semibold" w:cs="Times New Roman"/>
          <w:i/>
          <w:iCs/>
          <w:sz w:val="22"/>
          <w:szCs w:val="22"/>
          <w:lang w:val="en-US"/>
        </w:rPr>
      </w:pPr>
      <w:r w:rsidRPr="00763C51">
        <w:rPr>
          <w:rFonts w:ascii="Renault Group Semibold" w:eastAsia="Renault Group" w:hAnsi="Renault Group Semibold" w:cs="Times New Roman"/>
          <w:i/>
          <w:iCs/>
          <w:sz w:val="22"/>
          <w:szCs w:val="22"/>
          <w:lang w:val="en-US"/>
        </w:rPr>
        <w:t>Finally, as announced on February 6 with our partners Nissan and Mitsubishi, the new foundations of our Alliance will be deployed as of this year with operational projects that create value for all stakeholders.</w:t>
      </w:r>
    </w:p>
    <w:p w14:paraId="241C1A42" w14:textId="5283513E" w:rsidR="00D2193F" w:rsidRPr="00C40750" w:rsidRDefault="00D2193F" w:rsidP="003C6B37">
      <w:pPr>
        <w:spacing w:line="240" w:lineRule="auto"/>
        <w:jc w:val="both"/>
        <w:rPr>
          <w:rFonts w:ascii="Renault Group Semibold" w:eastAsia="Renault Group" w:hAnsi="Renault Group Semibold" w:cs="Times New Roman"/>
          <w:i/>
          <w:sz w:val="22"/>
          <w:szCs w:val="22"/>
          <w:lang w:val="en-US"/>
        </w:rPr>
      </w:pPr>
      <w:r w:rsidRPr="009A7A9B">
        <w:rPr>
          <w:rFonts w:ascii="Renault Group Semibold" w:eastAsia="Renault Group" w:hAnsi="Renault Group Semibold" w:cs="Times New Roman"/>
          <w:i/>
          <w:sz w:val="22"/>
          <w:szCs w:val="22"/>
          <w:lang w:val="en-US"/>
        </w:rPr>
        <w:t>Go 2023!“</w:t>
      </w:r>
      <w:r w:rsidR="00232015" w:rsidRPr="009A7A9B">
        <w:rPr>
          <w:rFonts w:ascii="Renault Group Semibold" w:eastAsia="Renault Group" w:hAnsi="Renault Group Semibold" w:cs="Times New Roman"/>
          <w:i/>
          <w:sz w:val="22"/>
          <w:szCs w:val="22"/>
          <w:lang w:val="en-US"/>
        </w:rPr>
        <w:t xml:space="preserve"> </w:t>
      </w:r>
      <w:r w:rsidR="009E60F8">
        <w:rPr>
          <w:rFonts w:ascii="Renault Group Semibold" w:eastAsia="Renault Group" w:hAnsi="Renault Group Semibold" w:cs="Times New Roman"/>
          <w:i/>
          <w:sz w:val="22"/>
          <w:szCs w:val="22"/>
          <w:lang w:val="en-US"/>
        </w:rPr>
        <w:t xml:space="preserve"> </w:t>
      </w:r>
      <w:r w:rsidRPr="00717B80">
        <w:rPr>
          <w:rFonts w:ascii="Renault Group Semibold" w:eastAsia="Renault Group" w:hAnsi="Renault Group Semibold" w:cs="Times New Roman"/>
          <w:sz w:val="22"/>
          <w:szCs w:val="22"/>
          <w:lang w:val="en-US"/>
        </w:rPr>
        <w:t xml:space="preserve">said </w:t>
      </w:r>
      <w:r w:rsidRPr="00717B80">
        <w:rPr>
          <w:rFonts w:ascii="Renault Group Semibold" w:eastAsia="Renault Group" w:hAnsi="Renault Group Semibold" w:cs="Times New Roman"/>
          <w:b/>
          <w:bCs/>
          <w:sz w:val="22"/>
          <w:szCs w:val="22"/>
          <w:lang w:val="en-US"/>
        </w:rPr>
        <w:t>Luca de Meo, CEO of Renault Group</w:t>
      </w:r>
    </w:p>
    <w:p w14:paraId="65280D7F" w14:textId="77777777" w:rsidR="00D2193F" w:rsidRPr="0018271F" w:rsidRDefault="00D2193F" w:rsidP="00D2193F">
      <w:pPr>
        <w:spacing w:line="240" w:lineRule="auto"/>
        <w:jc w:val="both"/>
        <w:rPr>
          <w:rFonts w:ascii="Renault Group" w:eastAsia="Renault Group" w:hAnsi="Renault Group" w:cs="Times New Roman"/>
          <w:b/>
          <w:sz w:val="22"/>
          <w:szCs w:val="22"/>
          <w:lang w:val="en-US"/>
        </w:rPr>
      </w:pPr>
    </w:p>
    <w:p w14:paraId="37D622E7" w14:textId="77777777" w:rsidR="002C4A81" w:rsidRDefault="002C4A81">
      <w:pPr>
        <w:spacing w:before="0" w:line="240" w:lineRule="auto"/>
        <w:rPr>
          <w:rFonts w:ascii="Renault Group" w:eastAsia="Renault Group" w:hAnsi="Renault Group" w:cs="Times New Roman"/>
          <w:b/>
          <w:sz w:val="22"/>
          <w:szCs w:val="22"/>
          <w:lang w:val="en"/>
        </w:rPr>
      </w:pPr>
      <w:r>
        <w:rPr>
          <w:rFonts w:ascii="Renault Group" w:eastAsia="Renault Group" w:hAnsi="Renault Group" w:cs="Times New Roman"/>
          <w:b/>
          <w:sz w:val="22"/>
          <w:szCs w:val="22"/>
          <w:lang w:val="en"/>
        </w:rPr>
        <w:br w:type="page"/>
      </w:r>
    </w:p>
    <w:p w14:paraId="4C9AB1D4" w14:textId="3D77CBE7" w:rsidR="00D2193F" w:rsidRPr="00C9495B" w:rsidRDefault="00D2193F" w:rsidP="00D2193F">
      <w:pPr>
        <w:numPr>
          <w:ilvl w:val="0"/>
          <w:numId w:val="1"/>
        </w:numPr>
        <w:spacing w:line="240" w:lineRule="auto"/>
        <w:ind w:left="284"/>
        <w:jc w:val="both"/>
        <w:rPr>
          <w:rFonts w:ascii="Renault Group" w:eastAsia="Renault Group" w:hAnsi="Renault Group" w:cs="Times New Roman"/>
          <w:b/>
          <w:sz w:val="22"/>
          <w:szCs w:val="22"/>
          <w:lang w:val="en-US"/>
        </w:rPr>
      </w:pPr>
      <w:r w:rsidRPr="003858B9">
        <w:rPr>
          <w:rFonts w:ascii="Renault Group" w:eastAsia="Renault Group" w:hAnsi="Renault Group" w:cs="Times New Roman"/>
          <w:b/>
          <w:sz w:val="22"/>
          <w:szCs w:val="22"/>
          <w:lang w:val="en"/>
        </w:rPr>
        <w:lastRenderedPageBreak/>
        <w:t>202</w:t>
      </w:r>
      <w:r>
        <w:rPr>
          <w:rFonts w:ascii="Renault Group" w:eastAsia="Renault Group" w:hAnsi="Renault Group" w:cs="Times New Roman"/>
          <w:b/>
          <w:sz w:val="22"/>
          <w:szCs w:val="22"/>
          <w:lang w:val="en"/>
        </w:rPr>
        <w:t>2</w:t>
      </w:r>
      <w:r>
        <w:rPr>
          <w:rStyle w:val="Appelnotedebasdep"/>
          <w:b/>
          <w:sz w:val="22"/>
          <w:szCs w:val="22"/>
          <w:lang w:val="en"/>
        </w:rPr>
        <w:footnoteReference w:id="3"/>
      </w:r>
      <w:r>
        <w:rPr>
          <w:b/>
          <w:sz w:val="22"/>
          <w:szCs w:val="22"/>
          <w:lang w:val="en"/>
        </w:rPr>
        <w:t xml:space="preserve"> </w:t>
      </w:r>
      <w:r w:rsidRPr="003858B9">
        <w:rPr>
          <w:rFonts w:ascii="Renault Group" w:eastAsia="Renault Group" w:hAnsi="Renault Group" w:cs="Times New Roman"/>
          <w:b/>
          <w:sz w:val="22"/>
          <w:szCs w:val="22"/>
          <w:lang w:val="en"/>
        </w:rPr>
        <w:t xml:space="preserve"> results</w:t>
      </w:r>
      <w:r>
        <w:rPr>
          <w:rFonts w:ascii="Renault Group" w:eastAsia="Renault Group" w:hAnsi="Renault Group" w:cs="Times New Roman"/>
          <w:b/>
          <w:sz w:val="22"/>
          <w:szCs w:val="22"/>
          <w:lang w:val="en"/>
        </w:rPr>
        <w:t xml:space="preserve">: </w:t>
      </w:r>
      <w:r w:rsidR="00A651C0">
        <w:rPr>
          <w:b/>
          <w:sz w:val="22"/>
          <w:szCs w:val="22"/>
          <w:lang w:val="en"/>
        </w:rPr>
        <w:t xml:space="preserve">exceeded 2022 FY </w:t>
      </w:r>
      <w:r w:rsidR="005A14CB">
        <w:rPr>
          <w:b/>
          <w:sz w:val="22"/>
          <w:szCs w:val="22"/>
          <w:lang w:val="en"/>
        </w:rPr>
        <w:t>financial outlook</w:t>
      </w:r>
      <w:r w:rsidR="00A651C0">
        <w:rPr>
          <w:b/>
          <w:sz w:val="22"/>
          <w:szCs w:val="22"/>
          <w:lang w:val="en"/>
        </w:rPr>
        <w:t xml:space="preserve"> </w:t>
      </w:r>
      <w:r>
        <w:rPr>
          <w:b/>
          <w:sz w:val="22"/>
          <w:szCs w:val="22"/>
          <w:lang w:val="en"/>
        </w:rPr>
        <w:t xml:space="preserve">(upgraded in July 2022) </w:t>
      </w:r>
    </w:p>
    <w:p w14:paraId="65A4F30C" w14:textId="0CF36768" w:rsidR="00D2193F" w:rsidRPr="003E1757"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
        </w:rPr>
      </w:pPr>
      <w:r w:rsidRPr="003056A0">
        <w:rPr>
          <w:rFonts w:ascii="Renault Group" w:eastAsia="Renault Group" w:hAnsi="Renault Group" w:cs="Times New Roman"/>
          <w:sz w:val="22"/>
          <w:szCs w:val="22"/>
          <w:lang w:val="en"/>
        </w:rPr>
        <w:t>Group revenue at €</w:t>
      </w:r>
      <w:r>
        <w:rPr>
          <w:rFonts w:ascii="Renault Group" w:eastAsia="Renault Group" w:hAnsi="Renault Group" w:cs="Times New Roman"/>
          <w:sz w:val="22"/>
          <w:szCs w:val="22"/>
          <w:lang w:val="en"/>
        </w:rPr>
        <w:t>46.4bn</w:t>
      </w:r>
      <w:r w:rsidRPr="003056A0">
        <w:rPr>
          <w:rFonts w:ascii="Renault Group" w:eastAsia="Renault Group" w:hAnsi="Renault Group" w:cs="Times New Roman"/>
          <w:sz w:val="22"/>
          <w:szCs w:val="22"/>
          <w:lang w:val="en"/>
        </w:rPr>
        <w:t>: +</w:t>
      </w:r>
      <w:r>
        <w:rPr>
          <w:rFonts w:ascii="Renault Group" w:eastAsia="Renault Group" w:hAnsi="Renault Group" w:cs="Times New Roman"/>
          <w:sz w:val="22"/>
          <w:szCs w:val="22"/>
          <w:lang w:val="en"/>
        </w:rPr>
        <w:t>11.</w:t>
      </w:r>
      <w:r w:rsidR="00C50A88">
        <w:rPr>
          <w:rFonts w:ascii="Renault Group" w:eastAsia="Renault Group" w:hAnsi="Renault Group" w:cs="Times New Roman"/>
          <w:sz w:val="22"/>
          <w:szCs w:val="22"/>
          <w:lang w:val="en"/>
        </w:rPr>
        <w:t>4</w:t>
      </w:r>
      <w:r w:rsidRPr="003056A0">
        <w:rPr>
          <w:rFonts w:ascii="Renault Group" w:eastAsia="Renault Group" w:hAnsi="Renault Group" w:cs="Times New Roman"/>
          <w:sz w:val="22"/>
          <w:szCs w:val="22"/>
          <w:lang w:val="en"/>
        </w:rPr>
        <w:t>% vs</w:t>
      </w:r>
      <w:r>
        <w:rPr>
          <w:rFonts w:ascii="Renault Group" w:eastAsia="Renault Group" w:hAnsi="Renault Group" w:cs="Times New Roman"/>
          <w:sz w:val="22"/>
          <w:szCs w:val="22"/>
          <w:lang w:val="en"/>
        </w:rPr>
        <w:t xml:space="preserve"> </w:t>
      </w:r>
      <w:r w:rsidRPr="003056A0">
        <w:rPr>
          <w:rFonts w:ascii="Renault Group" w:eastAsia="Renault Group" w:hAnsi="Renault Group" w:cs="Times New Roman"/>
          <w:sz w:val="22"/>
          <w:szCs w:val="22"/>
          <w:lang w:val="en"/>
        </w:rPr>
        <w:t>2021</w:t>
      </w:r>
    </w:p>
    <w:p w14:paraId="040CF5D2" w14:textId="23873763" w:rsidR="00D2193F" w:rsidRPr="0005719E"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3056A0">
        <w:rPr>
          <w:rFonts w:ascii="Renault Group" w:eastAsia="Renault Group" w:hAnsi="Renault Group" w:cs="Times New Roman"/>
          <w:sz w:val="22"/>
          <w:szCs w:val="22"/>
          <w:lang w:val="en"/>
        </w:rPr>
        <w:t>Group operating margin at €</w:t>
      </w:r>
      <w:r>
        <w:rPr>
          <w:rFonts w:ascii="Renault Group" w:eastAsia="Renault Group" w:hAnsi="Renault Group" w:cs="Times New Roman"/>
          <w:sz w:val="22"/>
          <w:szCs w:val="22"/>
          <w:lang w:val="en"/>
        </w:rPr>
        <w:t>2.6bn</w:t>
      </w:r>
      <w:r w:rsidRPr="003056A0">
        <w:rPr>
          <w:rFonts w:ascii="Renault Group" w:eastAsia="Renault Group" w:hAnsi="Renault Group" w:cs="Times New Roman"/>
          <w:sz w:val="22"/>
          <w:szCs w:val="22"/>
          <w:lang w:val="en"/>
        </w:rPr>
        <w:t xml:space="preserve"> (</w:t>
      </w:r>
      <w:r>
        <w:rPr>
          <w:rFonts w:ascii="Renault Group" w:eastAsia="Renault Group" w:hAnsi="Renault Group" w:cs="Times New Roman"/>
          <w:sz w:val="22"/>
          <w:szCs w:val="22"/>
          <w:lang w:val="en"/>
        </w:rPr>
        <w:t>5.6</w:t>
      </w:r>
      <w:r w:rsidRPr="003056A0">
        <w:rPr>
          <w:rFonts w:ascii="Renault Group" w:eastAsia="Renault Group" w:hAnsi="Renault Group" w:cs="Times New Roman"/>
          <w:sz w:val="22"/>
          <w:szCs w:val="22"/>
          <w:lang w:val="en"/>
        </w:rPr>
        <w:t>% of revenue): up €</w:t>
      </w:r>
      <w:r>
        <w:rPr>
          <w:rFonts w:ascii="Renault Group" w:eastAsia="Renault Group" w:hAnsi="Renault Group" w:cs="Times New Roman"/>
          <w:sz w:val="22"/>
          <w:szCs w:val="22"/>
          <w:lang w:val="en"/>
        </w:rPr>
        <w:t>1.4bn</w:t>
      </w:r>
      <w:r w:rsidRPr="003056A0">
        <w:rPr>
          <w:rFonts w:ascii="Renault Group" w:eastAsia="Renault Group" w:hAnsi="Renault Group" w:cs="Times New Roman"/>
          <w:sz w:val="22"/>
          <w:szCs w:val="22"/>
          <w:lang w:val="en"/>
        </w:rPr>
        <w:t xml:space="preserve"> vs 2021</w:t>
      </w:r>
      <w:r w:rsidR="00BD0595">
        <w:rPr>
          <w:rFonts w:ascii="Renault Group" w:eastAsia="Renault Group" w:hAnsi="Renault Group" w:cs="Times New Roman"/>
          <w:sz w:val="22"/>
          <w:szCs w:val="22"/>
          <w:lang w:val="en"/>
        </w:rPr>
        <w:t xml:space="preserve"> </w:t>
      </w:r>
      <w:r w:rsidR="00BD0595" w:rsidRPr="0005719E">
        <w:rPr>
          <w:rFonts w:ascii="Renault Group" w:eastAsia="Renault Group" w:hAnsi="Renault Group" w:cs="Times New Roman"/>
          <w:sz w:val="22"/>
          <w:szCs w:val="22"/>
          <w:lang w:val="en"/>
        </w:rPr>
        <w:t>(+</w:t>
      </w:r>
      <w:r w:rsidR="00BD0595">
        <w:rPr>
          <w:rFonts w:ascii="Renault Group" w:eastAsia="Renault Group" w:hAnsi="Renault Group" w:cs="Times New Roman"/>
          <w:sz w:val="22"/>
          <w:szCs w:val="22"/>
          <w:lang w:val="en"/>
        </w:rPr>
        <w:t>2.8</w:t>
      </w:r>
      <w:r w:rsidR="00BD0595" w:rsidRPr="0005719E">
        <w:rPr>
          <w:rFonts w:ascii="Renault Group" w:eastAsia="Renault Group" w:hAnsi="Renault Group" w:cs="Times New Roman"/>
          <w:sz w:val="22"/>
          <w:szCs w:val="22"/>
          <w:lang w:val="en"/>
        </w:rPr>
        <w:t> pts)</w:t>
      </w:r>
      <w:r w:rsidRPr="003056A0">
        <w:rPr>
          <w:rFonts w:ascii="Renault Group" w:eastAsia="Renault Group" w:hAnsi="Renault Group" w:cs="Times New Roman"/>
          <w:sz w:val="22"/>
          <w:szCs w:val="22"/>
          <w:lang w:val="en"/>
        </w:rPr>
        <w:t xml:space="preserve">, reaching </w:t>
      </w:r>
      <w:r>
        <w:rPr>
          <w:rFonts w:ascii="Renault Group" w:eastAsia="Renault Group" w:hAnsi="Renault Group" w:cs="Times New Roman"/>
          <w:sz w:val="22"/>
          <w:szCs w:val="22"/>
          <w:lang w:val="en"/>
        </w:rPr>
        <w:t>6.4</w:t>
      </w:r>
      <w:r w:rsidRPr="003056A0">
        <w:rPr>
          <w:rFonts w:ascii="Renault Group" w:eastAsia="Renault Group" w:hAnsi="Renault Group" w:cs="Times New Roman"/>
          <w:sz w:val="22"/>
          <w:szCs w:val="22"/>
          <w:lang w:val="en"/>
        </w:rPr>
        <w:t>% in 2022</w:t>
      </w:r>
      <w:r>
        <w:rPr>
          <w:rFonts w:ascii="Renault Group" w:eastAsia="Renault Group" w:hAnsi="Renault Group" w:cs="Times New Roman"/>
          <w:sz w:val="22"/>
          <w:szCs w:val="22"/>
          <w:lang w:val="en"/>
        </w:rPr>
        <w:t xml:space="preserve"> </w:t>
      </w:r>
      <w:r w:rsidRPr="0005719E">
        <w:rPr>
          <w:rFonts w:ascii="Renault Group" w:eastAsia="Renault Group" w:hAnsi="Renault Group" w:cs="Times New Roman"/>
          <w:sz w:val="22"/>
          <w:szCs w:val="22"/>
          <w:lang w:val="en"/>
        </w:rPr>
        <w:t>H2 (+</w:t>
      </w:r>
      <w:r w:rsidR="00BD0595">
        <w:rPr>
          <w:rFonts w:ascii="Renault Group" w:eastAsia="Renault Group" w:hAnsi="Renault Group" w:cs="Times New Roman"/>
          <w:sz w:val="22"/>
          <w:szCs w:val="22"/>
          <w:lang w:val="en"/>
        </w:rPr>
        <w:t>2.9</w:t>
      </w:r>
      <w:r w:rsidRPr="0005719E">
        <w:rPr>
          <w:rFonts w:ascii="Renault Group" w:eastAsia="Renault Group" w:hAnsi="Renault Group" w:cs="Times New Roman"/>
          <w:sz w:val="22"/>
          <w:szCs w:val="22"/>
          <w:lang w:val="en"/>
        </w:rPr>
        <w:t xml:space="preserve"> pts vs 2021 H2)</w:t>
      </w:r>
    </w:p>
    <w:p w14:paraId="0FE3710D" w14:textId="6C485740" w:rsidR="007C2B76"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05719E">
        <w:rPr>
          <w:rFonts w:ascii="Renault Group" w:eastAsia="Renault Group" w:hAnsi="Renault Group" w:cs="Times New Roman"/>
          <w:sz w:val="22"/>
          <w:szCs w:val="22"/>
          <w:lang w:val="en"/>
        </w:rPr>
        <w:t>Automotive</w:t>
      </w:r>
      <w:r w:rsidRPr="0005719E">
        <w:rPr>
          <w:rFonts w:ascii="Renault Group" w:eastAsia="Renault Group" w:hAnsi="Renault Group" w:cs="Times New Roman"/>
          <w:sz w:val="22"/>
          <w:szCs w:val="22"/>
          <w:vertAlign w:val="superscript"/>
          <w:lang w:val="en"/>
        </w:rPr>
        <w:t xml:space="preserve"> </w:t>
      </w:r>
      <w:r w:rsidRPr="0005719E">
        <w:rPr>
          <w:rFonts w:ascii="Renault Group" w:eastAsia="Renault Group" w:hAnsi="Renault Group" w:cs="Times New Roman"/>
          <w:sz w:val="22"/>
          <w:szCs w:val="22"/>
          <w:lang w:val="en"/>
        </w:rPr>
        <w:t>operating margin at €1.4bn (3.3% of revenue): up €1.4bn vs 2021 (+3.3 pts), reaching 4.2% in 2022 H2 (+3.5 pts</w:t>
      </w:r>
      <w:r>
        <w:rPr>
          <w:rFonts w:ascii="Renault Group" w:eastAsia="Renault Group" w:hAnsi="Renault Group" w:cs="Times New Roman"/>
          <w:sz w:val="22"/>
          <w:szCs w:val="22"/>
          <w:lang w:val="en"/>
        </w:rPr>
        <w:t xml:space="preserve"> vs 2021 H2)</w:t>
      </w:r>
      <w:r w:rsidR="00711395">
        <w:rPr>
          <w:rFonts w:ascii="Renault Group" w:eastAsia="Renault Group" w:hAnsi="Renault Group" w:cs="Times New Roman"/>
          <w:sz w:val="22"/>
          <w:szCs w:val="22"/>
          <w:lang w:val="en-US"/>
        </w:rPr>
        <w:t xml:space="preserve"> </w:t>
      </w:r>
    </w:p>
    <w:p w14:paraId="77072E0E" w14:textId="46B2A641" w:rsidR="00711395" w:rsidRPr="00711395" w:rsidRDefault="00711395"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711395">
        <w:rPr>
          <w:sz w:val="22"/>
          <w:szCs w:val="22"/>
          <w:lang w:val="en"/>
        </w:rPr>
        <w:t xml:space="preserve">Record </w:t>
      </w:r>
      <w:r w:rsidR="00A14CA8">
        <w:rPr>
          <w:sz w:val="22"/>
          <w:szCs w:val="22"/>
          <w:lang w:val="en"/>
        </w:rPr>
        <w:t xml:space="preserve">Automotive </w:t>
      </w:r>
      <w:r w:rsidRPr="00711395">
        <w:rPr>
          <w:sz w:val="22"/>
          <w:szCs w:val="22"/>
          <w:lang w:val="en"/>
        </w:rPr>
        <w:t xml:space="preserve">operating margin per vehicle </w:t>
      </w:r>
    </w:p>
    <w:p w14:paraId="10C80259" w14:textId="37E206B9" w:rsidR="00D2193F" w:rsidRPr="00A9530E"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A9530E">
        <w:rPr>
          <w:rFonts w:ascii="Renault Group" w:hAnsi="Renault Group" w:cs="Renault Group"/>
          <w:sz w:val="22"/>
          <w:szCs w:val="22"/>
          <w:lang w:val="en-US"/>
        </w:rPr>
        <w:t>Net income from continuing operations at €</w:t>
      </w:r>
      <w:r w:rsidR="00C45D85">
        <w:rPr>
          <w:rFonts w:ascii="Renault Group" w:hAnsi="Renault Group" w:cs="Renault Group"/>
          <w:sz w:val="22"/>
          <w:szCs w:val="22"/>
          <w:lang w:val="en-US"/>
        </w:rPr>
        <w:t>1</w:t>
      </w:r>
      <w:r w:rsidR="007862EB">
        <w:rPr>
          <w:rFonts w:ascii="Renault Group" w:hAnsi="Renault Group" w:cs="Renault Group"/>
          <w:sz w:val="22"/>
          <w:szCs w:val="22"/>
          <w:lang w:val="en-US"/>
        </w:rPr>
        <w:t>.6bn</w:t>
      </w:r>
      <w:r w:rsidR="00B97512">
        <w:rPr>
          <w:rFonts w:ascii="Renault Group" w:hAnsi="Renault Group" w:cs="Renault Group"/>
          <w:sz w:val="22"/>
          <w:szCs w:val="22"/>
          <w:lang w:val="en-US"/>
        </w:rPr>
        <w:t>,</w:t>
      </w:r>
      <w:r w:rsidRPr="00A9530E">
        <w:rPr>
          <w:rFonts w:ascii="Renault Group" w:hAnsi="Renault Group" w:cs="Renault Group"/>
          <w:sz w:val="22"/>
          <w:szCs w:val="22"/>
          <w:lang w:val="en-US"/>
        </w:rPr>
        <w:t xml:space="preserve"> up €</w:t>
      </w:r>
      <w:r w:rsidR="007862EB">
        <w:rPr>
          <w:rFonts w:ascii="Renault Group" w:hAnsi="Renault Group" w:cs="Renault Group"/>
          <w:sz w:val="22"/>
          <w:szCs w:val="22"/>
          <w:lang w:val="en-US"/>
        </w:rPr>
        <w:t>1</w:t>
      </w:r>
      <w:r w:rsidR="00E70C04">
        <w:rPr>
          <w:rFonts w:ascii="Renault Group" w:hAnsi="Renault Group" w:cs="Renault Group"/>
          <w:sz w:val="22"/>
          <w:szCs w:val="22"/>
          <w:lang w:val="en-US"/>
        </w:rPr>
        <w:t>.</w:t>
      </w:r>
      <w:r w:rsidR="007862EB">
        <w:rPr>
          <w:rFonts w:ascii="Renault Group" w:hAnsi="Renault Group" w:cs="Renault Group"/>
          <w:sz w:val="22"/>
          <w:szCs w:val="22"/>
          <w:lang w:val="en-US"/>
        </w:rPr>
        <w:t>1</w:t>
      </w:r>
      <w:r w:rsidR="007A15C7">
        <w:rPr>
          <w:rFonts w:ascii="Renault Group" w:hAnsi="Renault Group" w:cs="Renault Group"/>
          <w:sz w:val="22"/>
          <w:szCs w:val="22"/>
          <w:lang w:val="en-US"/>
        </w:rPr>
        <w:t xml:space="preserve">bn </w:t>
      </w:r>
      <w:r w:rsidRPr="00A9530E">
        <w:rPr>
          <w:rFonts w:ascii="Renault Group" w:hAnsi="Renault Group" w:cs="Renault Group"/>
          <w:sz w:val="22"/>
          <w:szCs w:val="22"/>
          <w:lang w:val="en-US"/>
        </w:rPr>
        <w:t xml:space="preserve">compared to 2021 </w:t>
      </w:r>
    </w:p>
    <w:p w14:paraId="640EBCEA" w14:textId="77777777" w:rsidR="00D2193F" w:rsidRPr="00A9530E"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A9530E">
        <w:rPr>
          <w:rFonts w:ascii="Renault Group" w:hAnsi="Renault Group" w:cs="Renault Group"/>
          <w:sz w:val="22"/>
          <w:szCs w:val="22"/>
          <w:lang w:val="en-US"/>
        </w:rPr>
        <w:t>Net income from discontinued operations at -€2.3</w:t>
      </w:r>
      <w:r>
        <w:rPr>
          <w:rFonts w:ascii="Renault Group" w:hAnsi="Renault Group" w:cs="Renault Group"/>
          <w:sz w:val="22"/>
          <w:szCs w:val="22"/>
          <w:lang w:val="en-US"/>
        </w:rPr>
        <w:t>bn</w:t>
      </w:r>
      <w:r w:rsidRPr="00A9530E">
        <w:rPr>
          <w:rFonts w:ascii="Renault Group" w:hAnsi="Renault Group" w:cs="Renault Group"/>
          <w:sz w:val="22"/>
          <w:szCs w:val="22"/>
          <w:lang w:val="en-US"/>
        </w:rPr>
        <w:t xml:space="preserve"> due to the non-cash adjustment related to the disposal of the Russian industrial activities announced on May 16, 2022 </w:t>
      </w:r>
    </w:p>
    <w:p w14:paraId="24724823" w14:textId="0DDAE89F" w:rsidR="00D2193F" w:rsidRPr="008E76C7" w:rsidRDefault="001C11A9" w:rsidP="0070112E">
      <w:pPr>
        <w:numPr>
          <w:ilvl w:val="1"/>
          <w:numId w:val="1"/>
        </w:numPr>
        <w:spacing w:before="80" w:line="240" w:lineRule="auto"/>
        <w:ind w:left="851" w:hanging="284"/>
        <w:jc w:val="both"/>
        <w:rPr>
          <w:rFonts w:ascii="Renault Group" w:eastAsia="Renault Group" w:hAnsi="Renault Group" w:cs="Times New Roman"/>
          <w:sz w:val="22"/>
          <w:szCs w:val="22"/>
          <w:lang w:val="en"/>
        </w:rPr>
      </w:pPr>
      <w:r>
        <w:rPr>
          <w:rFonts w:ascii="Renault Group" w:eastAsia="Renault Group" w:hAnsi="Renault Group" w:cs="Times New Roman"/>
          <w:sz w:val="22"/>
          <w:szCs w:val="22"/>
          <w:lang w:val="en"/>
        </w:rPr>
        <w:t xml:space="preserve">Record </w:t>
      </w:r>
      <w:r w:rsidR="00D2193F" w:rsidRPr="003056A0">
        <w:rPr>
          <w:rFonts w:ascii="Renault Group" w:eastAsia="Renault Group" w:hAnsi="Renault Group" w:cs="Times New Roman"/>
          <w:sz w:val="22"/>
          <w:szCs w:val="22"/>
          <w:lang w:val="en"/>
        </w:rPr>
        <w:t>Automotive operational free cash flow</w:t>
      </w:r>
      <w:r w:rsidR="00D70546">
        <w:rPr>
          <w:rFonts w:ascii="Renault Group" w:eastAsia="Renault Group" w:hAnsi="Renault Group" w:cs="Times New Roman"/>
          <w:sz w:val="22"/>
          <w:szCs w:val="22"/>
          <w:lang w:val="en"/>
        </w:rPr>
        <w:t xml:space="preserve"> at</w:t>
      </w:r>
      <w:r w:rsidR="00D70546" w:rsidRPr="003056A0">
        <w:rPr>
          <w:rFonts w:ascii="Renault Group" w:eastAsia="Renault Group" w:hAnsi="Renault Group" w:cs="Times New Roman"/>
          <w:sz w:val="22"/>
          <w:szCs w:val="22"/>
          <w:lang w:val="en"/>
        </w:rPr>
        <w:t xml:space="preserve"> </w:t>
      </w:r>
      <w:r w:rsidR="00D2193F" w:rsidRPr="003056A0">
        <w:rPr>
          <w:rFonts w:ascii="Renault Group" w:eastAsia="Renault Group" w:hAnsi="Renault Group" w:cs="Times New Roman"/>
          <w:sz w:val="22"/>
          <w:szCs w:val="22"/>
          <w:lang w:val="en"/>
        </w:rPr>
        <w:t>€</w:t>
      </w:r>
      <w:r w:rsidR="00D2193F">
        <w:rPr>
          <w:rFonts w:ascii="Renault Group" w:eastAsia="Renault Group" w:hAnsi="Renault Group" w:cs="Times New Roman"/>
          <w:sz w:val="22"/>
          <w:szCs w:val="22"/>
          <w:lang w:val="en"/>
        </w:rPr>
        <w:t xml:space="preserve">2.1bn </w:t>
      </w:r>
      <w:r w:rsidR="00D2193F" w:rsidRPr="008E76C7">
        <w:rPr>
          <w:rFonts w:ascii="Renault Group" w:eastAsia="Renault Group" w:hAnsi="Renault Group" w:cs="Times New Roman"/>
          <w:sz w:val="22"/>
          <w:szCs w:val="22"/>
          <w:lang w:val="en"/>
        </w:rPr>
        <w:t>(including a €800</w:t>
      </w:r>
      <w:r w:rsidR="00D2193F">
        <w:rPr>
          <w:rFonts w:ascii="Renault Group" w:eastAsia="Renault Group" w:hAnsi="Renault Group" w:cs="Times New Roman"/>
          <w:sz w:val="22"/>
          <w:szCs w:val="22"/>
          <w:lang w:val="en"/>
        </w:rPr>
        <w:t>m</w:t>
      </w:r>
      <w:r w:rsidR="00D2193F" w:rsidRPr="008E76C7">
        <w:rPr>
          <w:rFonts w:ascii="Renault Group" w:eastAsia="Renault Group" w:hAnsi="Renault Group" w:cs="Times New Roman"/>
          <w:sz w:val="22"/>
          <w:szCs w:val="22"/>
          <w:lang w:val="en"/>
        </w:rPr>
        <w:t xml:space="preserve"> dividend from Mobilize Financial Services</w:t>
      </w:r>
      <w:r w:rsidR="00137F3B" w:rsidRPr="008E76C7">
        <w:rPr>
          <w:rFonts w:ascii="Renault Group" w:eastAsia="Renault Group" w:hAnsi="Renault Group" w:cs="Times New Roman"/>
          <w:sz w:val="22"/>
          <w:szCs w:val="22"/>
          <w:lang w:val="en"/>
        </w:rPr>
        <w:t>)</w:t>
      </w:r>
      <w:r w:rsidR="00137F3B">
        <w:rPr>
          <w:rFonts w:ascii="Renault Group" w:eastAsia="Renault Group" w:hAnsi="Renault Group" w:cs="Times New Roman"/>
          <w:sz w:val="22"/>
          <w:szCs w:val="22"/>
          <w:lang w:val="en"/>
        </w:rPr>
        <w:t xml:space="preserve">: up </w:t>
      </w:r>
      <w:r w:rsidR="00D2193F">
        <w:rPr>
          <w:sz w:val="22"/>
          <w:szCs w:val="22"/>
          <w:lang w:val="en"/>
        </w:rPr>
        <w:t>€1.2bn vs 2021</w:t>
      </w:r>
    </w:p>
    <w:p w14:paraId="4F463EAE" w14:textId="184A2249" w:rsidR="00D2193F" w:rsidRPr="00462C67" w:rsidRDefault="00D2193F"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sidRPr="001661C7">
        <w:rPr>
          <w:sz w:val="22"/>
          <w:szCs w:val="22"/>
          <w:lang w:val="en"/>
        </w:rPr>
        <w:t xml:space="preserve">Automotive </w:t>
      </w:r>
      <w:r>
        <w:rPr>
          <w:sz w:val="22"/>
          <w:szCs w:val="22"/>
          <w:lang w:val="en"/>
        </w:rPr>
        <w:t>net cash</w:t>
      </w:r>
      <w:r w:rsidR="00256CCC">
        <w:rPr>
          <w:sz w:val="22"/>
          <w:szCs w:val="22"/>
          <w:lang w:val="en"/>
        </w:rPr>
        <w:t>:</w:t>
      </w:r>
      <w:r>
        <w:rPr>
          <w:sz w:val="22"/>
          <w:szCs w:val="22"/>
          <w:lang w:val="en"/>
        </w:rPr>
        <w:t xml:space="preserve"> back to </w:t>
      </w:r>
      <w:r w:rsidRPr="001661C7">
        <w:rPr>
          <w:sz w:val="22"/>
          <w:szCs w:val="22"/>
          <w:lang w:val="en"/>
        </w:rPr>
        <w:t>positive at</w:t>
      </w:r>
      <w:r w:rsidRPr="001661C7">
        <w:rPr>
          <w:b/>
          <w:bCs/>
          <w:sz w:val="22"/>
          <w:szCs w:val="22"/>
          <w:lang w:val="en"/>
        </w:rPr>
        <w:t xml:space="preserve"> </w:t>
      </w:r>
      <w:r>
        <w:rPr>
          <w:sz w:val="22"/>
          <w:szCs w:val="22"/>
          <w:lang w:val="en"/>
        </w:rPr>
        <w:t>+€</w:t>
      </w:r>
      <w:r w:rsidR="00940A99">
        <w:rPr>
          <w:sz w:val="22"/>
          <w:szCs w:val="22"/>
          <w:lang w:val="en"/>
        </w:rPr>
        <w:t>549</w:t>
      </w:r>
      <w:r>
        <w:rPr>
          <w:sz w:val="22"/>
          <w:szCs w:val="22"/>
          <w:lang w:val="en"/>
        </w:rPr>
        <w:t>m</w:t>
      </w:r>
      <w:r w:rsidRPr="001661C7">
        <w:rPr>
          <w:sz w:val="22"/>
          <w:szCs w:val="22"/>
          <w:lang w:val="en"/>
        </w:rPr>
        <w:t xml:space="preserve"> </w:t>
      </w:r>
      <w:r>
        <w:rPr>
          <w:sz w:val="22"/>
          <w:szCs w:val="22"/>
          <w:lang w:val="en"/>
        </w:rPr>
        <w:t>at</w:t>
      </w:r>
      <w:r w:rsidRPr="001661C7">
        <w:rPr>
          <w:sz w:val="22"/>
          <w:szCs w:val="22"/>
          <w:lang w:val="en"/>
        </w:rPr>
        <w:t xml:space="preserve"> December</w:t>
      </w:r>
      <w:r>
        <w:rPr>
          <w:sz w:val="22"/>
          <w:szCs w:val="22"/>
          <w:lang w:val="en"/>
        </w:rPr>
        <w:t xml:space="preserve"> 31,</w:t>
      </w:r>
      <w:r w:rsidRPr="001661C7">
        <w:rPr>
          <w:sz w:val="22"/>
          <w:szCs w:val="22"/>
          <w:lang w:val="en"/>
        </w:rPr>
        <w:t xml:space="preserve"> 2022</w:t>
      </w:r>
      <w:r w:rsidRPr="001661C7">
        <w:rPr>
          <w:lang w:val="en"/>
        </w:rPr>
        <w:t xml:space="preserve"> </w:t>
      </w:r>
      <w:r w:rsidRPr="001661C7">
        <w:rPr>
          <w:sz w:val="22"/>
          <w:szCs w:val="22"/>
          <w:lang w:val="en"/>
        </w:rPr>
        <w:t xml:space="preserve">compared to </w:t>
      </w:r>
      <w:r w:rsidR="00DF1817">
        <w:rPr>
          <w:sz w:val="22"/>
          <w:szCs w:val="22"/>
          <w:lang w:val="en"/>
        </w:rPr>
        <w:br/>
      </w:r>
      <w:r w:rsidRPr="001661C7">
        <w:rPr>
          <w:sz w:val="22"/>
          <w:szCs w:val="22"/>
          <w:lang w:val="en"/>
        </w:rPr>
        <w:t>-€1.1</w:t>
      </w:r>
      <w:r>
        <w:rPr>
          <w:sz w:val="22"/>
          <w:szCs w:val="22"/>
          <w:lang w:val="en"/>
        </w:rPr>
        <w:t>bn</w:t>
      </w:r>
      <w:r w:rsidRPr="001661C7">
        <w:rPr>
          <w:lang w:val="en"/>
        </w:rPr>
        <w:t xml:space="preserve"> </w:t>
      </w:r>
      <w:r w:rsidR="007F3B85" w:rsidRPr="00EF4DF9">
        <w:rPr>
          <w:sz w:val="22"/>
          <w:szCs w:val="22"/>
          <w:lang w:val="en"/>
        </w:rPr>
        <w:t>at Dece</w:t>
      </w:r>
      <w:r w:rsidR="00EF4DF9" w:rsidRPr="00EF4DF9">
        <w:rPr>
          <w:sz w:val="22"/>
          <w:szCs w:val="22"/>
          <w:lang w:val="en"/>
        </w:rPr>
        <w:t>mber 31, 2021</w:t>
      </w:r>
      <w:r w:rsidR="00783B08">
        <w:rPr>
          <w:sz w:val="22"/>
          <w:szCs w:val="22"/>
          <w:lang w:val="en"/>
        </w:rPr>
        <w:t>,</w:t>
      </w:r>
      <w:r w:rsidR="00EF4DF9">
        <w:rPr>
          <w:lang w:val="en"/>
        </w:rPr>
        <w:t xml:space="preserve"> </w:t>
      </w:r>
      <w:r w:rsidR="00AA0CFC">
        <w:rPr>
          <w:sz w:val="22"/>
          <w:szCs w:val="22"/>
          <w:lang w:val="en"/>
        </w:rPr>
        <w:t>ie</w:t>
      </w:r>
      <w:r w:rsidRPr="001661C7">
        <w:rPr>
          <w:sz w:val="22"/>
          <w:szCs w:val="22"/>
          <w:lang w:val="en"/>
        </w:rPr>
        <w:t xml:space="preserve"> an improvement of €</w:t>
      </w:r>
      <w:r>
        <w:rPr>
          <w:sz w:val="22"/>
          <w:szCs w:val="22"/>
          <w:lang w:val="en"/>
        </w:rPr>
        <w:t>1.</w:t>
      </w:r>
      <w:r w:rsidR="00DF1817">
        <w:rPr>
          <w:sz w:val="22"/>
          <w:szCs w:val="22"/>
          <w:lang w:val="en"/>
        </w:rPr>
        <w:t>6</w:t>
      </w:r>
      <w:r>
        <w:rPr>
          <w:sz w:val="22"/>
          <w:szCs w:val="22"/>
          <w:lang w:val="en"/>
        </w:rPr>
        <w:t>bn</w:t>
      </w:r>
    </w:p>
    <w:p w14:paraId="6F400201" w14:textId="65610A07" w:rsidR="00BE1073" w:rsidRPr="001661C7" w:rsidRDefault="00F937B9" w:rsidP="0070112E">
      <w:pPr>
        <w:numPr>
          <w:ilvl w:val="1"/>
          <w:numId w:val="1"/>
        </w:numPr>
        <w:spacing w:before="80" w:line="240" w:lineRule="auto"/>
        <w:ind w:left="851" w:hanging="284"/>
        <w:jc w:val="both"/>
        <w:rPr>
          <w:rFonts w:ascii="Renault Group" w:eastAsia="Renault Group" w:hAnsi="Renault Group" w:cs="Times New Roman"/>
          <w:sz w:val="22"/>
          <w:szCs w:val="22"/>
          <w:lang w:val="en-US"/>
        </w:rPr>
      </w:pPr>
      <w:r>
        <w:rPr>
          <w:sz w:val="22"/>
          <w:szCs w:val="22"/>
          <w:lang w:val="en"/>
        </w:rPr>
        <w:t xml:space="preserve">Breakeven point </w:t>
      </w:r>
      <w:r w:rsidR="00614D3B">
        <w:rPr>
          <w:sz w:val="22"/>
          <w:szCs w:val="22"/>
          <w:lang w:val="en"/>
        </w:rPr>
        <w:t xml:space="preserve">lowered by </w:t>
      </w:r>
      <w:r w:rsidR="00D1704E">
        <w:rPr>
          <w:sz w:val="22"/>
          <w:szCs w:val="22"/>
          <w:lang w:val="en"/>
        </w:rPr>
        <w:t>50</w:t>
      </w:r>
      <w:r w:rsidR="00614D3B">
        <w:rPr>
          <w:sz w:val="22"/>
          <w:szCs w:val="22"/>
          <w:lang w:val="en"/>
        </w:rPr>
        <w:t xml:space="preserve">% vs 2019 </w:t>
      </w:r>
    </w:p>
    <w:p w14:paraId="7B842A7E" w14:textId="7ED13360" w:rsidR="007A2261" w:rsidRPr="002A0E00" w:rsidRDefault="007A2261" w:rsidP="0070112E">
      <w:pPr>
        <w:numPr>
          <w:ilvl w:val="1"/>
          <w:numId w:val="1"/>
        </w:numPr>
        <w:spacing w:before="80" w:line="240" w:lineRule="auto"/>
        <w:ind w:left="851" w:hanging="284"/>
        <w:jc w:val="both"/>
        <w:rPr>
          <w:rFonts w:ascii="Renault Group" w:eastAsia="Renault Group" w:hAnsi="Renault Group" w:cs="Times New Roman"/>
          <w:color w:val="000000" w:themeColor="text1"/>
          <w:sz w:val="22"/>
          <w:szCs w:val="22"/>
          <w:lang w:val="en"/>
        </w:rPr>
      </w:pPr>
      <w:r>
        <w:rPr>
          <w:rFonts w:ascii="Renault Group" w:eastAsia="Renault Group" w:hAnsi="Renault Group" w:cs="Times New Roman"/>
          <w:color w:val="000000" w:themeColor="text1"/>
          <w:sz w:val="22"/>
          <w:szCs w:val="22"/>
          <w:lang w:val="en"/>
        </w:rPr>
        <w:t>2022 Global carbon footprint</w:t>
      </w:r>
      <w:r w:rsidR="007B1262">
        <w:rPr>
          <w:rStyle w:val="Appelnotedebasdep"/>
          <w:rFonts w:ascii="Renault Group" w:eastAsia="Renault Group" w:hAnsi="Renault Group" w:cs="Times New Roman"/>
          <w:color w:val="000000" w:themeColor="text1"/>
          <w:sz w:val="22"/>
          <w:szCs w:val="22"/>
          <w:lang w:val="en"/>
        </w:rPr>
        <w:footnoteReference w:id="4"/>
      </w:r>
      <w:r>
        <w:rPr>
          <w:rFonts w:ascii="Renault Group" w:eastAsia="Renault Group" w:hAnsi="Renault Group" w:cs="Times New Roman"/>
          <w:color w:val="000000" w:themeColor="text1"/>
          <w:sz w:val="22"/>
          <w:szCs w:val="22"/>
          <w:lang w:val="en"/>
        </w:rPr>
        <w:t xml:space="preserve"> reduction target of -25% versus 2010 achieved</w:t>
      </w:r>
    </w:p>
    <w:p w14:paraId="1CB7BB1A" w14:textId="1E2FDFDF" w:rsidR="00D2193F" w:rsidRPr="00636722" w:rsidRDefault="00D2193F" w:rsidP="00D2193F">
      <w:pPr>
        <w:numPr>
          <w:ilvl w:val="0"/>
          <w:numId w:val="1"/>
        </w:numPr>
        <w:spacing w:before="240" w:line="240" w:lineRule="auto"/>
        <w:ind w:left="284"/>
        <w:jc w:val="both"/>
        <w:rPr>
          <w:rFonts w:ascii="Renault Group" w:eastAsia="Renault Group" w:hAnsi="Renault Group" w:cs="Times New Roman"/>
          <w:b/>
          <w:sz w:val="22"/>
          <w:szCs w:val="22"/>
          <w:lang w:val="en-US"/>
        </w:rPr>
      </w:pPr>
      <w:r>
        <w:rPr>
          <w:b/>
          <w:sz w:val="22"/>
          <w:szCs w:val="22"/>
          <w:lang w:val="en"/>
        </w:rPr>
        <w:t>Orderbook at record level</w:t>
      </w:r>
      <w:r w:rsidR="00DA7DF1">
        <w:rPr>
          <w:b/>
          <w:sz w:val="22"/>
          <w:szCs w:val="22"/>
          <w:lang w:val="en"/>
        </w:rPr>
        <w:t>s</w:t>
      </w:r>
      <w:r>
        <w:rPr>
          <w:b/>
          <w:sz w:val="22"/>
          <w:szCs w:val="22"/>
          <w:lang w:val="en"/>
        </w:rPr>
        <w:t xml:space="preserve"> and success of new vehicles</w:t>
      </w:r>
    </w:p>
    <w:p w14:paraId="4F91994E" w14:textId="009639B1" w:rsidR="00D2193F" w:rsidRPr="004A120A" w:rsidRDefault="00D2193F" w:rsidP="008413EE">
      <w:pPr>
        <w:numPr>
          <w:ilvl w:val="1"/>
          <w:numId w:val="1"/>
        </w:numPr>
        <w:spacing w:before="80" w:line="240" w:lineRule="auto"/>
        <w:ind w:left="851" w:hanging="284"/>
        <w:jc w:val="both"/>
        <w:rPr>
          <w:rFonts w:ascii="Renault Group" w:eastAsia="Renault Group" w:hAnsi="Renault Group" w:cs="Times New Roman"/>
          <w:i/>
          <w:iCs/>
          <w:sz w:val="22"/>
          <w:szCs w:val="22"/>
          <w:lang w:val="en-US"/>
        </w:rPr>
      </w:pPr>
      <w:r w:rsidRPr="004A120A">
        <w:rPr>
          <w:sz w:val="22"/>
          <w:szCs w:val="22"/>
          <w:lang w:val="en"/>
        </w:rPr>
        <w:t xml:space="preserve">Group orderbook in Europe at </w:t>
      </w:r>
      <w:r>
        <w:rPr>
          <w:sz w:val="22"/>
          <w:szCs w:val="22"/>
          <w:lang w:val="en"/>
        </w:rPr>
        <w:t>record level</w:t>
      </w:r>
      <w:r w:rsidR="00E37FBB">
        <w:rPr>
          <w:sz w:val="22"/>
          <w:szCs w:val="22"/>
          <w:lang w:val="en"/>
        </w:rPr>
        <w:t>s</w:t>
      </w:r>
      <w:r>
        <w:rPr>
          <w:sz w:val="22"/>
          <w:szCs w:val="22"/>
          <w:lang w:val="en"/>
        </w:rPr>
        <w:t xml:space="preserve">: </w:t>
      </w:r>
      <w:r w:rsidRPr="004A120A">
        <w:rPr>
          <w:sz w:val="22"/>
          <w:szCs w:val="22"/>
          <w:lang w:val="en"/>
        </w:rPr>
        <w:t>3.5 months of sales at the end of the year</w:t>
      </w:r>
    </w:p>
    <w:p w14:paraId="1FB31C68" w14:textId="7C2AD283" w:rsidR="00D2193F" w:rsidRPr="002E6875" w:rsidRDefault="00D2193F" w:rsidP="008413EE">
      <w:pPr>
        <w:numPr>
          <w:ilvl w:val="1"/>
          <w:numId w:val="1"/>
        </w:numPr>
        <w:spacing w:before="80" w:line="240" w:lineRule="auto"/>
        <w:ind w:left="851" w:hanging="284"/>
        <w:jc w:val="both"/>
        <w:rPr>
          <w:rFonts w:ascii="Renault Group" w:hAnsi="Renault Group"/>
          <w:sz w:val="22"/>
          <w:lang w:val="en-US"/>
        </w:rPr>
      </w:pPr>
      <w:r>
        <w:rPr>
          <w:rFonts w:ascii="Renault Group" w:eastAsia="Renault Group" w:hAnsi="Renault Group" w:cs="Times New Roman"/>
          <w:sz w:val="22"/>
          <w:szCs w:val="22"/>
          <w:lang w:val="en-US"/>
        </w:rPr>
        <w:t>Sales mix</w:t>
      </w:r>
      <w:r w:rsidRPr="001B4D05">
        <w:rPr>
          <w:rFonts w:ascii="Renault Group" w:eastAsia="Renault Group" w:hAnsi="Renault Group" w:cs="Times New Roman"/>
          <w:sz w:val="22"/>
          <w:szCs w:val="22"/>
          <w:lang w:val="en-US"/>
        </w:rPr>
        <w:t xml:space="preserve"> to retail customers in the 5 main European countries (France, Germany, Spain, Italy, UK)</w:t>
      </w:r>
      <w:r>
        <w:rPr>
          <w:rFonts w:ascii="Renault Group" w:eastAsia="Renault Group" w:hAnsi="Renault Group" w:cs="Times New Roman"/>
          <w:sz w:val="22"/>
          <w:szCs w:val="22"/>
          <w:lang w:val="en-US"/>
        </w:rPr>
        <w:t>: 67% (+9 pts</w:t>
      </w:r>
      <w:r w:rsidRPr="001B4D05">
        <w:rPr>
          <w:rFonts w:ascii="Renault Group" w:eastAsia="Renault Group" w:hAnsi="Renault Group" w:cs="Times New Roman"/>
          <w:sz w:val="22"/>
          <w:szCs w:val="22"/>
          <w:lang w:val="en-US"/>
        </w:rPr>
        <w:t xml:space="preserve"> </w:t>
      </w:r>
      <w:r>
        <w:rPr>
          <w:rFonts w:ascii="Renault Group" w:eastAsia="Renault Group" w:hAnsi="Renault Group" w:cs="Times New Roman"/>
          <w:sz w:val="22"/>
          <w:szCs w:val="22"/>
          <w:lang w:val="en-US"/>
        </w:rPr>
        <w:t>vs</w:t>
      </w:r>
      <w:r w:rsidRPr="001B4D05">
        <w:rPr>
          <w:rFonts w:ascii="Renault Group" w:eastAsia="Renault Group" w:hAnsi="Renault Group" w:cs="Times New Roman"/>
          <w:sz w:val="22"/>
          <w:szCs w:val="22"/>
          <w:lang w:val="en-US"/>
        </w:rPr>
        <w:t xml:space="preserve"> 202</w:t>
      </w:r>
      <w:r>
        <w:rPr>
          <w:rFonts w:ascii="Renault Group" w:eastAsia="Renault Group" w:hAnsi="Renault Group" w:cs="Times New Roman"/>
          <w:sz w:val="22"/>
          <w:szCs w:val="22"/>
          <w:lang w:val="en-US"/>
        </w:rPr>
        <w:t>1, +15 pts vs 2019</w:t>
      </w:r>
      <w:r w:rsidRPr="002E6875">
        <w:rPr>
          <w:rFonts w:ascii="Renault Group" w:eastAsia="Renault Group" w:hAnsi="Renault Group" w:cs="Times New Roman"/>
          <w:sz w:val="22"/>
          <w:szCs w:val="22"/>
          <w:lang w:val="en-US"/>
        </w:rPr>
        <w:t xml:space="preserve">) </w:t>
      </w:r>
    </w:p>
    <w:p w14:paraId="355577CE" w14:textId="29D64D3C" w:rsidR="00D2193F" w:rsidRPr="00BD736B" w:rsidRDefault="00D2193F" w:rsidP="008413EE">
      <w:pPr>
        <w:numPr>
          <w:ilvl w:val="1"/>
          <w:numId w:val="1"/>
        </w:numPr>
        <w:spacing w:before="80" w:line="240" w:lineRule="auto"/>
        <w:ind w:left="851" w:hanging="284"/>
        <w:jc w:val="both"/>
        <w:rPr>
          <w:rFonts w:ascii="Renault Group" w:hAnsi="Renault Group"/>
          <w:sz w:val="22"/>
          <w:lang w:val="en-US"/>
        </w:rPr>
      </w:pPr>
      <w:r>
        <w:rPr>
          <w:sz w:val="22"/>
          <w:szCs w:val="22"/>
          <w:lang w:val="en"/>
        </w:rPr>
        <w:t>Growing p</w:t>
      </w:r>
      <w:r w:rsidRPr="00C44EF2">
        <w:rPr>
          <w:sz w:val="22"/>
          <w:szCs w:val="22"/>
          <w:lang w:val="en"/>
        </w:rPr>
        <w:t>erformance of E-TECH</w:t>
      </w:r>
      <w:r w:rsidR="009B1EF9">
        <w:rPr>
          <w:rStyle w:val="Appelnotedebasdep"/>
          <w:sz w:val="22"/>
          <w:szCs w:val="22"/>
          <w:lang w:val="en"/>
        </w:rPr>
        <w:footnoteReference w:id="5"/>
      </w:r>
      <w:r w:rsidRPr="00C44EF2">
        <w:rPr>
          <w:sz w:val="22"/>
          <w:szCs w:val="22"/>
          <w:lang w:val="en"/>
        </w:rPr>
        <w:t xml:space="preserve"> sales, representing </w:t>
      </w:r>
      <w:r w:rsidRPr="00047F1E">
        <w:rPr>
          <w:sz w:val="22"/>
          <w:szCs w:val="22"/>
          <w:lang w:val="en"/>
        </w:rPr>
        <w:t xml:space="preserve">39% </w:t>
      </w:r>
      <w:r w:rsidRPr="00C44EF2">
        <w:rPr>
          <w:sz w:val="22"/>
          <w:szCs w:val="22"/>
          <w:lang w:val="en"/>
        </w:rPr>
        <w:t xml:space="preserve">of Renault brand passenger cars </w:t>
      </w:r>
      <w:r>
        <w:rPr>
          <w:sz w:val="22"/>
          <w:szCs w:val="22"/>
          <w:lang w:val="en"/>
        </w:rPr>
        <w:t xml:space="preserve">sales </w:t>
      </w:r>
      <w:r w:rsidRPr="00C44EF2">
        <w:rPr>
          <w:sz w:val="22"/>
          <w:szCs w:val="22"/>
          <w:lang w:val="en"/>
        </w:rPr>
        <w:t xml:space="preserve">in Europe </w:t>
      </w:r>
      <w:r w:rsidRPr="00A040A6">
        <w:rPr>
          <w:sz w:val="22"/>
          <w:szCs w:val="22"/>
          <w:lang w:val="en"/>
        </w:rPr>
        <w:t>(+</w:t>
      </w:r>
      <w:r w:rsidR="00765E94">
        <w:rPr>
          <w:sz w:val="22"/>
          <w:szCs w:val="22"/>
          <w:lang w:val="en"/>
        </w:rPr>
        <w:t>9</w:t>
      </w:r>
      <w:r w:rsidR="00F57FA2">
        <w:rPr>
          <w:sz w:val="22"/>
          <w:szCs w:val="22"/>
          <w:lang w:val="en"/>
        </w:rPr>
        <w:t xml:space="preserve"> </w:t>
      </w:r>
      <w:r w:rsidRPr="00A040A6">
        <w:rPr>
          <w:sz w:val="22"/>
          <w:szCs w:val="22"/>
          <w:lang w:val="en"/>
        </w:rPr>
        <w:t xml:space="preserve">pts vs </w:t>
      </w:r>
      <w:r w:rsidRPr="00C44EF2">
        <w:rPr>
          <w:sz w:val="22"/>
          <w:szCs w:val="22"/>
          <w:lang w:val="en"/>
        </w:rPr>
        <w:t xml:space="preserve">2021). Renault is the </w:t>
      </w:r>
      <w:r>
        <w:rPr>
          <w:sz w:val="22"/>
          <w:szCs w:val="22"/>
          <w:lang w:val="en"/>
        </w:rPr>
        <w:t>3</w:t>
      </w:r>
      <w:r w:rsidRPr="00D33E24">
        <w:rPr>
          <w:sz w:val="22"/>
          <w:szCs w:val="22"/>
          <w:vertAlign w:val="superscript"/>
          <w:lang w:val="en"/>
        </w:rPr>
        <w:t>rd</w:t>
      </w:r>
      <w:r w:rsidRPr="00D33E24">
        <w:rPr>
          <w:sz w:val="22"/>
          <w:szCs w:val="22"/>
          <w:lang w:val="en"/>
        </w:rPr>
        <w:t xml:space="preserve"> brand on pure EV market and </w:t>
      </w:r>
      <w:r w:rsidR="00954222">
        <w:rPr>
          <w:sz w:val="22"/>
          <w:szCs w:val="22"/>
          <w:lang w:val="en"/>
        </w:rPr>
        <w:br/>
      </w:r>
      <w:r>
        <w:rPr>
          <w:sz w:val="22"/>
          <w:szCs w:val="22"/>
          <w:lang w:val="en"/>
        </w:rPr>
        <w:t>2</w:t>
      </w:r>
      <w:r w:rsidRPr="00BD736B">
        <w:rPr>
          <w:sz w:val="22"/>
          <w:szCs w:val="22"/>
          <w:vertAlign w:val="superscript"/>
          <w:lang w:val="en"/>
        </w:rPr>
        <w:t>nd</w:t>
      </w:r>
      <w:r w:rsidRPr="00BD736B">
        <w:rPr>
          <w:sz w:val="22"/>
          <w:szCs w:val="22"/>
          <w:lang w:val="en"/>
        </w:rPr>
        <w:t xml:space="preserve"> brand on full-hybrid market in Europe</w:t>
      </w:r>
    </w:p>
    <w:p w14:paraId="2AE1F241" w14:textId="77777777" w:rsidR="00D2193F" w:rsidRPr="004129C0" w:rsidRDefault="00D2193F" w:rsidP="008413EE">
      <w:pPr>
        <w:numPr>
          <w:ilvl w:val="1"/>
          <w:numId w:val="1"/>
        </w:numPr>
        <w:spacing w:before="80" w:line="240" w:lineRule="auto"/>
        <w:ind w:left="851" w:hanging="284"/>
        <w:jc w:val="both"/>
        <w:rPr>
          <w:rFonts w:ascii="Renault Group" w:eastAsia="Renault Group" w:hAnsi="Renault Group" w:cs="Times New Roman"/>
          <w:sz w:val="22"/>
          <w:szCs w:val="22"/>
          <w:lang w:val="en-US"/>
        </w:rPr>
      </w:pPr>
      <w:r>
        <w:rPr>
          <w:rFonts w:ascii="Renault Group" w:eastAsia="Renault Group" w:hAnsi="Renault Group" w:cs="Times New Roman"/>
          <w:sz w:val="22"/>
          <w:szCs w:val="22"/>
          <w:lang w:val="en-US"/>
        </w:rPr>
        <w:t xml:space="preserve">Success of models: </w:t>
      </w:r>
    </w:p>
    <w:p w14:paraId="391767FA" w14:textId="021ADCBC" w:rsidR="00D2193F" w:rsidRPr="00CE3DA0" w:rsidRDefault="00D2193F" w:rsidP="00D2193F">
      <w:pPr>
        <w:numPr>
          <w:ilvl w:val="3"/>
          <w:numId w:val="18"/>
        </w:numPr>
        <w:spacing w:before="80" w:line="240" w:lineRule="auto"/>
        <w:ind w:left="1276" w:hanging="142"/>
        <w:jc w:val="both"/>
        <w:rPr>
          <w:rFonts w:ascii="Renault Group" w:eastAsia="Renault Group" w:hAnsi="Renault Group" w:cs="Times New Roman"/>
          <w:color w:val="000000" w:themeColor="text1"/>
          <w:sz w:val="22"/>
          <w:szCs w:val="22"/>
          <w:lang w:val="en-US"/>
        </w:rPr>
      </w:pPr>
      <w:r w:rsidRPr="00CA0B1D">
        <w:rPr>
          <w:sz w:val="22"/>
          <w:szCs w:val="22"/>
          <w:lang w:val="en"/>
        </w:rPr>
        <w:t xml:space="preserve">Renault Arkana </w:t>
      </w:r>
      <w:r w:rsidRPr="00CE3DA0">
        <w:rPr>
          <w:sz w:val="22"/>
          <w:szCs w:val="22"/>
          <w:lang w:val="en"/>
        </w:rPr>
        <w:t xml:space="preserve">recorded </w:t>
      </w:r>
      <w:r w:rsidR="00EC2A1E" w:rsidRPr="00CE3DA0">
        <w:rPr>
          <w:sz w:val="22"/>
          <w:szCs w:val="22"/>
          <w:lang w:val="en"/>
        </w:rPr>
        <w:t>86</w:t>
      </w:r>
      <w:r w:rsidRPr="00CE3DA0">
        <w:rPr>
          <w:sz w:val="22"/>
          <w:szCs w:val="22"/>
          <w:lang w:val="en"/>
        </w:rPr>
        <w:t>,000 sales</w:t>
      </w:r>
      <w:r w:rsidR="00A14443" w:rsidRPr="00CE3DA0">
        <w:rPr>
          <w:sz w:val="22"/>
          <w:szCs w:val="22"/>
          <w:lang w:val="en"/>
        </w:rPr>
        <w:t xml:space="preserve"> </w:t>
      </w:r>
      <w:r w:rsidR="00CA0B1D" w:rsidRPr="00CE3DA0">
        <w:rPr>
          <w:sz w:val="22"/>
          <w:szCs w:val="22"/>
          <w:lang w:val="en"/>
        </w:rPr>
        <w:t>in more than 50 countries</w:t>
      </w:r>
      <w:r w:rsidR="004B300D">
        <w:rPr>
          <w:sz w:val="22"/>
          <w:szCs w:val="22"/>
          <w:lang w:val="en"/>
        </w:rPr>
        <w:t xml:space="preserve"> in 2022</w:t>
      </w:r>
      <w:r w:rsidR="002A05F9" w:rsidRPr="00CE3DA0">
        <w:rPr>
          <w:sz w:val="22"/>
          <w:szCs w:val="22"/>
          <w:lang w:val="en"/>
        </w:rPr>
        <w:t xml:space="preserve">. </w:t>
      </w:r>
      <w:r w:rsidR="00002F44" w:rsidRPr="00CE3DA0">
        <w:rPr>
          <w:sz w:val="22"/>
          <w:szCs w:val="22"/>
          <w:lang w:val="en"/>
        </w:rPr>
        <w:t xml:space="preserve">In </w:t>
      </w:r>
      <w:r w:rsidR="00A14443" w:rsidRPr="00CE3DA0">
        <w:rPr>
          <w:sz w:val="22"/>
          <w:szCs w:val="22"/>
          <w:lang w:val="en"/>
        </w:rPr>
        <w:t>Europe</w:t>
      </w:r>
      <w:r w:rsidR="00CA0B1D" w:rsidRPr="00CE3DA0">
        <w:rPr>
          <w:sz w:val="22"/>
          <w:szCs w:val="22"/>
          <w:lang w:val="en"/>
        </w:rPr>
        <w:t>,</w:t>
      </w:r>
      <w:r w:rsidRPr="00CE3DA0">
        <w:rPr>
          <w:sz w:val="22"/>
          <w:szCs w:val="22"/>
          <w:lang w:val="en"/>
        </w:rPr>
        <w:t xml:space="preserve"> 6</w:t>
      </w:r>
      <w:r w:rsidR="00B02CE2" w:rsidRPr="00CE3DA0">
        <w:rPr>
          <w:sz w:val="22"/>
          <w:szCs w:val="22"/>
          <w:lang w:val="en"/>
        </w:rPr>
        <w:t>5</w:t>
      </w:r>
      <w:r w:rsidRPr="00CE3DA0">
        <w:rPr>
          <w:sz w:val="22"/>
          <w:szCs w:val="22"/>
          <w:lang w:val="en"/>
        </w:rPr>
        <w:t xml:space="preserve">% of </w:t>
      </w:r>
      <w:r w:rsidR="00E144D6" w:rsidRPr="00CA0B1D">
        <w:rPr>
          <w:sz w:val="22"/>
          <w:szCs w:val="22"/>
          <w:lang w:val="en"/>
        </w:rPr>
        <w:t>sales</w:t>
      </w:r>
      <w:r w:rsidR="00A93ACA" w:rsidRPr="00CA0B1D">
        <w:rPr>
          <w:sz w:val="22"/>
          <w:szCs w:val="22"/>
          <w:lang w:val="en"/>
        </w:rPr>
        <w:t xml:space="preserve"> </w:t>
      </w:r>
      <w:r w:rsidRPr="00CE3DA0">
        <w:rPr>
          <w:sz w:val="22"/>
          <w:szCs w:val="22"/>
          <w:lang w:val="en"/>
        </w:rPr>
        <w:t>are in E-TECH version, 7</w:t>
      </w:r>
      <w:r w:rsidRPr="00CE3DA0">
        <w:rPr>
          <w:color w:val="000000" w:themeColor="text1"/>
          <w:sz w:val="22"/>
          <w:szCs w:val="22"/>
          <w:lang w:val="en"/>
        </w:rPr>
        <w:t>4% on the highest versions and 56% on the retail channel</w:t>
      </w:r>
    </w:p>
    <w:p w14:paraId="51FCBCC8" w14:textId="18232998" w:rsidR="00D2193F" w:rsidRPr="00CE3DA0" w:rsidRDefault="00D2193F" w:rsidP="00D2193F">
      <w:pPr>
        <w:numPr>
          <w:ilvl w:val="3"/>
          <w:numId w:val="18"/>
        </w:numPr>
        <w:spacing w:before="80" w:line="240" w:lineRule="auto"/>
        <w:ind w:left="1276" w:hanging="142"/>
        <w:jc w:val="both"/>
        <w:rPr>
          <w:rFonts w:ascii="Renault Group" w:eastAsia="Renault Group" w:hAnsi="Renault Group" w:cs="Times New Roman"/>
          <w:color w:val="000000" w:themeColor="text1"/>
          <w:sz w:val="22"/>
          <w:szCs w:val="22"/>
          <w:lang w:val="en-US"/>
        </w:rPr>
      </w:pPr>
      <w:r w:rsidRPr="00CE3DA0">
        <w:rPr>
          <w:color w:val="000000" w:themeColor="text1"/>
          <w:sz w:val="22"/>
          <w:szCs w:val="22"/>
          <w:lang w:val="en"/>
        </w:rPr>
        <w:t xml:space="preserve">Renault Megane E-TECH Electric reached over 33,000 sales </w:t>
      </w:r>
      <w:r w:rsidR="00BB301F">
        <w:rPr>
          <w:color w:val="000000" w:themeColor="text1"/>
          <w:sz w:val="22"/>
          <w:szCs w:val="22"/>
          <w:lang w:val="en"/>
        </w:rPr>
        <w:t xml:space="preserve">in 2022, </w:t>
      </w:r>
      <w:r w:rsidRPr="00CE3DA0">
        <w:rPr>
          <w:color w:val="000000" w:themeColor="text1"/>
          <w:sz w:val="22"/>
          <w:szCs w:val="22"/>
          <w:lang w:val="en"/>
        </w:rPr>
        <w:t xml:space="preserve">since its launch </w:t>
      </w:r>
      <w:r w:rsidR="00225329" w:rsidRPr="00CE3DA0">
        <w:rPr>
          <w:color w:val="000000" w:themeColor="text1"/>
          <w:sz w:val="22"/>
          <w:szCs w:val="22"/>
          <w:lang w:val="en"/>
        </w:rPr>
        <w:t>at</w:t>
      </w:r>
      <w:r w:rsidRPr="00CE3DA0">
        <w:rPr>
          <w:color w:val="000000" w:themeColor="text1"/>
          <w:sz w:val="22"/>
          <w:szCs w:val="22"/>
          <w:lang w:val="en"/>
        </w:rPr>
        <w:t xml:space="preserve"> </w:t>
      </w:r>
      <w:r w:rsidR="00BC261D" w:rsidRPr="00CE3DA0">
        <w:rPr>
          <w:color w:val="000000" w:themeColor="text1"/>
          <w:sz w:val="22"/>
          <w:szCs w:val="22"/>
          <w:lang w:val="en"/>
        </w:rPr>
        <w:t xml:space="preserve">the end of </w:t>
      </w:r>
      <w:r w:rsidRPr="00CE3DA0">
        <w:rPr>
          <w:sz w:val="22"/>
          <w:szCs w:val="22"/>
          <w:lang w:val="en"/>
        </w:rPr>
        <w:t>2022 Q2</w:t>
      </w:r>
      <w:r w:rsidR="003E0869" w:rsidRPr="00CE3DA0">
        <w:rPr>
          <w:color w:val="000000" w:themeColor="text1"/>
          <w:sz w:val="22"/>
          <w:szCs w:val="22"/>
          <w:lang w:val="en"/>
        </w:rPr>
        <w:t>.</w:t>
      </w:r>
      <w:r w:rsidRPr="00CE3DA0">
        <w:rPr>
          <w:sz w:val="22"/>
          <w:szCs w:val="22"/>
          <w:lang w:val="en"/>
        </w:rPr>
        <w:t xml:space="preserve"> </w:t>
      </w:r>
      <w:r w:rsidRPr="00CA0B1D">
        <w:rPr>
          <w:sz w:val="22"/>
          <w:szCs w:val="22"/>
          <w:lang w:val="en"/>
        </w:rPr>
        <w:t xml:space="preserve">It was number 1 EV in France </w:t>
      </w:r>
      <w:r w:rsidR="00523551">
        <w:rPr>
          <w:sz w:val="22"/>
          <w:szCs w:val="22"/>
          <w:lang w:val="en"/>
        </w:rPr>
        <w:t>in 2022 H2</w:t>
      </w:r>
      <w:r w:rsidR="00175D96" w:rsidRPr="00CA0B1D">
        <w:rPr>
          <w:sz w:val="22"/>
          <w:szCs w:val="22"/>
          <w:lang w:val="en"/>
        </w:rPr>
        <w:t xml:space="preserve">. </w:t>
      </w:r>
      <w:r w:rsidR="00B876FB" w:rsidRPr="00CA0B1D">
        <w:rPr>
          <w:sz w:val="22"/>
          <w:szCs w:val="22"/>
          <w:lang w:val="en"/>
        </w:rPr>
        <w:t xml:space="preserve">As of </w:t>
      </w:r>
      <w:r w:rsidR="002D4098" w:rsidRPr="00CA0B1D">
        <w:rPr>
          <w:sz w:val="22"/>
          <w:szCs w:val="22"/>
          <w:lang w:val="en"/>
        </w:rPr>
        <w:t>today</w:t>
      </w:r>
      <w:r w:rsidR="00976E8C" w:rsidRPr="00CA0B1D">
        <w:rPr>
          <w:sz w:val="22"/>
          <w:szCs w:val="22"/>
          <w:lang w:val="en"/>
        </w:rPr>
        <w:t xml:space="preserve">, </w:t>
      </w:r>
      <w:r w:rsidR="00B3790E" w:rsidRPr="00CA0B1D">
        <w:rPr>
          <w:sz w:val="22"/>
          <w:szCs w:val="22"/>
          <w:lang w:val="en"/>
        </w:rPr>
        <w:t>49,000</w:t>
      </w:r>
      <w:r w:rsidR="00976E8C" w:rsidRPr="00CA0B1D">
        <w:rPr>
          <w:sz w:val="22"/>
          <w:szCs w:val="22"/>
          <w:lang w:val="en"/>
        </w:rPr>
        <w:t xml:space="preserve"> orders have been recorded since its launch</w:t>
      </w:r>
      <w:r w:rsidR="003E0869" w:rsidRPr="00CA0B1D">
        <w:rPr>
          <w:color w:val="000000" w:themeColor="text1"/>
          <w:sz w:val="22"/>
          <w:szCs w:val="22"/>
          <w:lang w:val="en"/>
        </w:rPr>
        <w:t xml:space="preserve"> with more than </w:t>
      </w:r>
      <w:r w:rsidR="00471869" w:rsidRPr="00CA0B1D">
        <w:rPr>
          <w:sz w:val="22"/>
          <w:szCs w:val="22"/>
          <w:lang w:val="en"/>
        </w:rPr>
        <w:t>70</w:t>
      </w:r>
      <w:r w:rsidR="003E0869" w:rsidRPr="00CA0B1D">
        <w:rPr>
          <w:sz w:val="22"/>
          <w:szCs w:val="22"/>
          <w:lang w:val="en"/>
        </w:rPr>
        <w:t xml:space="preserve">% of these on the highest versions and more than </w:t>
      </w:r>
      <w:r w:rsidR="00471869" w:rsidRPr="00CA0B1D">
        <w:rPr>
          <w:sz w:val="22"/>
          <w:szCs w:val="22"/>
          <w:lang w:val="en"/>
        </w:rPr>
        <w:t>80</w:t>
      </w:r>
      <w:r w:rsidR="003E0869" w:rsidRPr="00CA0B1D">
        <w:rPr>
          <w:sz w:val="22"/>
          <w:szCs w:val="22"/>
          <w:lang w:val="en"/>
        </w:rPr>
        <w:t>% on the most powerful engines</w:t>
      </w:r>
    </w:p>
    <w:p w14:paraId="67E33220" w14:textId="77777777" w:rsidR="00D2193F" w:rsidRPr="00920490" w:rsidRDefault="00D2193F" w:rsidP="00D2193F">
      <w:pPr>
        <w:numPr>
          <w:ilvl w:val="3"/>
          <w:numId w:val="18"/>
        </w:numPr>
        <w:spacing w:before="80" w:line="240" w:lineRule="auto"/>
        <w:ind w:left="1276" w:hanging="142"/>
        <w:jc w:val="both"/>
        <w:rPr>
          <w:color w:val="000000" w:themeColor="text1"/>
          <w:sz w:val="22"/>
          <w:szCs w:val="22"/>
          <w:lang w:val="en"/>
        </w:rPr>
      </w:pPr>
      <w:r>
        <w:rPr>
          <w:sz w:val="22"/>
          <w:szCs w:val="22"/>
          <w:lang w:val="en"/>
        </w:rPr>
        <w:t xml:space="preserve">Dacia </w:t>
      </w:r>
      <w:r w:rsidRPr="001575CC">
        <w:rPr>
          <w:sz w:val="22"/>
          <w:szCs w:val="22"/>
          <w:lang w:val="en"/>
        </w:rPr>
        <w:t>Sandero</w:t>
      </w:r>
      <w:r>
        <w:rPr>
          <w:sz w:val="22"/>
          <w:szCs w:val="22"/>
          <w:lang w:val="en"/>
        </w:rPr>
        <w:t xml:space="preserve">, with </w:t>
      </w:r>
      <w:r w:rsidRPr="00920490">
        <w:rPr>
          <w:color w:val="000000" w:themeColor="text1"/>
          <w:sz w:val="22"/>
          <w:szCs w:val="22"/>
          <w:lang w:val="en"/>
        </w:rPr>
        <w:t>229,500 sales, remained the best-selling vehicle to retail customers in Europe since 2017</w:t>
      </w:r>
    </w:p>
    <w:p w14:paraId="1206DDEE" w14:textId="4818AE5E" w:rsidR="00D2193F" w:rsidRPr="00920490" w:rsidRDefault="0035695B" w:rsidP="00D2193F">
      <w:pPr>
        <w:numPr>
          <w:ilvl w:val="3"/>
          <w:numId w:val="18"/>
        </w:numPr>
        <w:spacing w:before="80" w:line="240" w:lineRule="auto"/>
        <w:ind w:left="1276" w:hanging="142"/>
        <w:jc w:val="both"/>
        <w:rPr>
          <w:color w:val="000000" w:themeColor="text1"/>
          <w:sz w:val="22"/>
          <w:szCs w:val="22"/>
          <w:lang w:val="en"/>
        </w:rPr>
      </w:pPr>
      <w:r>
        <w:rPr>
          <w:color w:val="000000" w:themeColor="text1"/>
          <w:sz w:val="22"/>
          <w:szCs w:val="22"/>
          <w:lang w:val="en"/>
        </w:rPr>
        <w:t xml:space="preserve">Launched </w:t>
      </w:r>
      <w:r w:rsidR="00B3120A">
        <w:rPr>
          <w:color w:val="000000" w:themeColor="text1"/>
          <w:sz w:val="22"/>
          <w:szCs w:val="22"/>
          <w:lang w:val="en"/>
        </w:rPr>
        <w:t>mid-</w:t>
      </w:r>
      <w:r>
        <w:rPr>
          <w:color w:val="000000" w:themeColor="text1"/>
          <w:sz w:val="22"/>
          <w:szCs w:val="22"/>
          <w:lang w:val="en"/>
        </w:rPr>
        <w:t xml:space="preserve">2021, </w:t>
      </w:r>
      <w:r w:rsidR="00D2193F" w:rsidRPr="00920490">
        <w:rPr>
          <w:color w:val="000000" w:themeColor="text1"/>
          <w:sz w:val="22"/>
          <w:szCs w:val="22"/>
          <w:lang w:val="en"/>
        </w:rPr>
        <w:t xml:space="preserve">Dacia Spring 100% electric </w:t>
      </w:r>
      <w:r w:rsidR="00E31E41">
        <w:rPr>
          <w:color w:val="000000" w:themeColor="text1"/>
          <w:sz w:val="22"/>
          <w:szCs w:val="22"/>
          <w:lang w:val="en"/>
        </w:rPr>
        <w:t xml:space="preserve">recorded </w:t>
      </w:r>
      <w:r w:rsidR="00E31E41" w:rsidRPr="00920490">
        <w:rPr>
          <w:color w:val="000000" w:themeColor="text1"/>
          <w:sz w:val="22"/>
          <w:szCs w:val="22"/>
          <w:lang w:val="en"/>
        </w:rPr>
        <w:t>48,900 sales</w:t>
      </w:r>
      <w:r w:rsidR="00E31E41">
        <w:rPr>
          <w:color w:val="000000" w:themeColor="text1"/>
          <w:sz w:val="22"/>
          <w:szCs w:val="22"/>
          <w:lang w:val="en"/>
        </w:rPr>
        <w:t xml:space="preserve">, </w:t>
      </w:r>
      <w:r w:rsidR="00D2193F" w:rsidRPr="00920490">
        <w:rPr>
          <w:color w:val="000000" w:themeColor="text1"/>
          <w:sz w:val="22"/>
          <w:szCs w:val="22"/>
          <w:lang w:val="en"/>
        </w:rPr>
        <w:t>up 75% vs 2021</w:t>
      </w:r>
      <w:r w:rsidR="00B3700B">
        <w:rPr>
          <w:color w:val="000000" w:themeColor="text1"/>
          <w:sz w:val="22"/>
          <w:szCs w:val="22"/>
          <w:lang w:val="en"/>
        </w:rPr>
        <w:t xml:space="preserve"> </w:t>
      </w:r>
      <w:r w:rsidR="00D2193F" w:rsidRPr="00920490">
        <w:rPr>
          <w:color w:val="000000" w:themeColor="text1"/>
          <w:sz w:val="22"/>
          <w:szCs w:val="22"/>
          <w:lang w:val="en"/>
        </w:rPr>
        <w:t xml:space="preserve">and was number 3 </w:t>
      </w:r>
      <w:r w:rsidR="00D2193F">
        <w:rPr>
          <w:color w:val="000000" w:themeColor="text1"/>
          <w:sz w:val="22"/>
          <w:szCs w:val="22"/>
          <w:lang w:val="en"/>
        </w:rPr>
        <w:t>EV</w:t>
      </w:r>
      <w:r w:rsidR="00D2193F" w:rsidRPr="00920490">
        <w:rPr>
          <w:color w:val="000000" w:themeColor="text1"/>
          <w:sz w:val="22"/>
          <w:szCs w:val="22"/>
          <w:lang w:val="en"/>
        </w:rPr>
        <w:t xml:space="preserve"> sold to retail customers in Europe </w:t>
      </w:r>
    </w:p>
    <w:p w14:paraId="2C7CA0F2" w14:textId="2294E073" w:rsidR="00D2193F" w:rsidRPr="00920490" w:rsidRDefault="00D2193F" w:rsidP="00D2193F">
      <w:pPr>
        <w:numPr>
          <w:ilvl w:val="3"/>
          <w:numId w:val="18"/>
        </w:numPr>
        <w:spacing w:before="80" w:line="240" w:lineRule="auto"/>
        <w:ind w:left="1276" w:hanging="142"/>
        <w:jc w:val="both"/>
        <w:rPr>
          <w:color w:val="000000" w:themeColor="text1"/>
          <w:sz w:val="22"/>
          <w:szCs w:val="22"/>
          <w:lang w:val="en"/>
        </w:rPr>
      </w:pPr>
      <w:r w:rsidRPr="00920490">
        <w:rPr>
          <w:color w:val="000000" w:themeColor="text1"/>
          <w:sz w:val="22"/>
          <w:szCs w:val="22"/>
          <w:lang w:val="en"/>
        </w:rPr>
        <w:t xml:space="preserve">Dacia Jogger recorded </w:t>
      </w:r>
      <w:r w:rsidR="00D11043">
        <w:rPr>
          <w:color w:val="000000" w:themeColor="text1"/>
          <w:sz w:val="22"/>
          <w:szCs w:val="22"/>
          <w:lang w:val="en"/>
        </w:rPr>
        <w:t xml:space="preserve">almost </w:t>
      </w:r>
      <w:r w:rsidRPr="00920490">
        <w:rPr>
          <w:color w:val="000000" w:themeColor="text1"/>
          <w:sz w:val="22"/>
          <w:szCs w:val="22"/>
          <w:lang w:val="en"/>
        </w:rPr>
        <w:t>5</w:t>
      </w:r>
      <w:r w:rsidR="00D11043">
        <w:rPr>
          <w:color w:val="000000" w:themeColor="text1"/>
          <w:sz w:val="22"/>
          <w:szCs w:val="22"/>
          <w:lang w:val="en"/>
        </w:rPr>
        <w:t>7,000</w:t>
      </w:r>
      <w:r w:rsidRPr="00920490">
        <w:rPr>
          <w:color w:val="000000" w:themeColor="text1"/>
          <w:sz w:val="22"/>
          <w:szCs w:val="22"/>
          <w:lang w:val="en"/>
        </w:rPr>
        <w:t xml:space="preserve"> sales and was number 2 of C-segment (ex. SUV) sold to retail customers in Europe</w:t>
      </w:r>
    </w:p>
    <w:p w14:paraId="44372135" w14:textId="30992FFC" w:rsidR="00D2193F" w:rsidRPr="00893B68" w:rsidRDefault="00D2193F" w:rsidP="00D2193F">
      <w:pPr>
        <w:numPr>
          <w:ilvl w:val="3"/>
          <w:numId w:val="18"/>
        </w:numPr>
        <w:spacing w:before="80" w:line="240" w:lineRule="auto"/>
        <w:ind w:left="1276" w:hanging="142"/>
        <w:jc w:val="both"/>
        <w:rPr>
          <w:rFonts w:ascii="Renault Group" w:eastAsia="Renault Group" w:hAnsi="Renault Group" w:cs="Times New Roman"/>
          <w:sz w:val="22"/>
          <w:szCs w:val="22"/>
          <w:lang w:val="en-US"/>
        </w:rPr>
      </w:pPr>
      <w:r w:rsidRPr="00893B68">
        <w:rPr>
          <w:sz w:val="22"/>
          <w:szCs w:val="22"/>
          <w:lang w:val="en"/>
        </w:rPr>
        <w:t xml:space="preserve">Alpine </w:t>
      </w:r>
      <w:r w:rsidR="00907DB9">
        <w:rPr>
          <w:sz w:val="22"/>
          <w:szCs w:val="22"/>
          <w:lang w:val="en"/>
        </w:rPr>
        <w:t>reached a record level of sales</w:t>
      </w:r>
      <w:r w:rsidR="007726E1">
        <w:rPr>
          <w:sz w:val="22"/>
          <w:szCs w:val="22"/>
          <w:lang w:val="en"/>
        </w:rPr>
        <w:t>, up</w:t>
      </w:r>
      <w:r w:rsidRPr="00893B68">
        <w:rPr>
          <w:sz w:val="22"/>
          <w:szCs w:val="22"/>
          <w:lang w:val="en"/>
        </w:rPr>
        <w:t xml:space="preserve"> </w:t>
      </w:r>
      <w:r>
        <w:rPr>
          <w:sz w:val="22"/>
          <w:szCs w:val="22"/>
          <w:lang w:val="en"/>
        </w:rPr>
        <w:t>33</w:t>
      </w:r>
      <w:r w:rsidRPr="00893B68">
        <w:rPr>
          <w:sz w:val="22"/>
          <w:szCs w:val="22"/>
          <w:lang w:val="en"/>
        </w:rPr>
        <w:t xml:space="preserve">% versus 2021 </w:t>
      </w:r>
    </w:p>
    <w:p w14:paraId="1201B810" w14:textId="2ABFE14F" w:rsidR="00D2193F" w:rsidRDefault="00D2193F" w:rsidP="008413EE">
      <w:pPr>
        <w:numPr>
          <w:ilvl w:val="1"/>
          <w:numId w:val="1"/>
        </w:numPr>
        <w:spacing w:before="80" w:line="240" w:lineRule="auto"/>
        <w:ind w:left="851" w:hanging="284"/>
        <w:jc w:val="both"/>
        <w:rPr>
          <w:rFonts w:ascii="Renault Group" w:hAnsi="Renault Group"/>
          <w:sz w:val="22"/>
          <w:lang w:val="en-US"/>
        </w:rPr>
      </w:pPr>
      <w:r w:rsidRPr="00C7001A">
        <w:rPr>
          <w:sz w:val="22"/>
          <w:szCs w:val="22"/>
          <w:lang w:val="en"/>
        </w:rPr>
        <w:lastRenderedPageBreak/>
        <w:t xml:space="preserve">Product mix effect </w:t>
      </w:r>
      <w:r w:rsidRPr="00E72DB6">
        <w:rPr>
          <w:sz w:val="22"/>
          <w:szCs w:val="22"/>
          <w:lang w:val="en"/>
        </w:rPr>
        <w:t>of +2.</w:t>
      </w:r>
      <w:r w:rsidR="00C10F7A">
        <w:rPr>
          <w:sz w:val="22"/>
          <w:szCs w:val="22"/>
          <w:lang w:val="en"/>
        </w:rPr>
        <w:t>8</w:t>
      </w:r>
      <w:r>
        <w:rPr>
          <w:color w:val="FF0000"/>
          <w:sz w:val="22"/>
          <w:szCs w:val="22"/>
          <w:lang w:val="en"/>
        </w:rPr>
        <w:t xml:space="preserve"> </w:t>
      </w:r>
      <w:r w:rsidRPr="00C7001A">
        <w:rPr>
          <w:sz w:val="22"/>
          <w:szCs w:val="22"/>
          <w:lang w:val="en"/>
        </w:rPr>
        <w:t>pts</w:t>
      </w:r>
      <w:r w:rsidRPr="00C7001A">
        <w:rPr>
          <w:sz w:val="22"/>
          <w:lang w:val="en"/>
        </w:rPr>
        <w:t xml:space="preserve"> on the Automotive revenue v</w:t>
      </w:r>
      <w:r>
        <w:rPr>
          <w:sz w:val="22"/>
          <w:lang w:val="en"/>
        </w:rPr>
        <w:t>s</w:t>
      </w:r>
      <w:r w:rsidRPr="00C7001A">
        <w:rPr>
          <w:sz w:val="22"/>
          <w:lang w:val="en"/>
        </w:rPr>
        <w:t xml:space="preserve"> 2021 thanks to </w:t>
      </w:r>
      <w:r w:rsidRPr="00C7001A">
        <w:rPr>
          <w:sz w:val="22"/>
          <w:szCs w:val="22"/>
          <w:lang w:val="en"/>
        </w:rPr>
        <w:t>new launches (</w:t>
      </w:r>
      <w:r>
        <w:rPr>
          <w:sz w:val="22"/>
          <w:szCs w:val="22"/>
          <w:lang w:val="en"/>
        </w:rPr>
        <w:t xml:space="preserve">Renault </w:t>
      </w:r>
      <w:r w:rsidRPr="00C7001A">
        <w:rPr>
          <w:sz w:val="22"/>
          <w:szCs w:val="22"/>
          <w:lang w:val="en"/>
        </w:rPr>
        <w:t xml:space="preserve">Arkana, </w:t>
      </w:r>
      <w:r>
        <w:rPr>
          <w:sz w:val="22"/>
          <w:szCs w:val="22"/>
          <w:lang w:val="en"/>
        </w:rPr>
        <w:t xml:space="preserve">Dacia </w:t>
      </w:r>
      <w:r w:rsidRPr="00C7001A">
        <w:rPr>
          <w:sz w:val="22"/>
          <w:szCs w:val="22"/>
          <w:lang w:val="en"/>
        </w:rPr>
        <w:t>Jogger</w:t>
      </w:r>
      <w:r>
        <w:rPr>
          <w:sz w:val="22"/>
          <w:szCs w:val="22"/>
          <w:lang w:val="en"/>
        </w:rPr>
        <w:t xml:space="preserve"> and Renault </w:t>
      </w:r>
      <w:r w:rsidRPr="00C7001A">
        <w:rPr>
          <w:sz w:val="22"/>
          <w:szCs w:val="22"/>
          <w:lang w:val="en"/>
        </w:rPr>
        <w:t>Megane E-TECH Electric)</w:t>
      </w:r>
    </w:p>
    <w:p w14:paraId="66FEEE10" w14:textId="2A73116D" w:rsidR="00D2193F" w:rsidRPr="00D12ECA" w:rsidRDefault="00D2193F" w:rsidP="008413EE">
      <w:pPr>
        <w:numPr>
          <w:ilvl w:val="1"/>
          <w:numId w:val="1"/>
        </w:numPr>
        <w:spacing w:before="80" w:line="240" w:lineRule="auto"/>
        <w:ind w:left="851" w:hanging="284"/>
        <w:jc w:val="both"/>
        <w:rPr>
          <w:rFonts w:ascii="Renault Group" w:hAnsi="Renault Group"/>
          <w:sz w:val="22"/>
          <w:lang w:val="en-US"/>
        </w:rPr>
      </w:pPr>
      <w:r w:rsidRPr="00C44EF2">
        <w:rPr>
          <w:sz w:val="22"/>
          <w:szCs w:val="22"/>
          <w:lang w:val="en"/>
        </w:rPr>
        <w:t>Acceleration of the pric</w:t>
      </w:r>
      <w:r w:rsidR="00797C44">
        <w:rPr>
          <w:sz w:val="22"/>
          <w:szCs w:val="22"/>
          <w:lang w:val="en"/>
        </w:rPr>
        <w:t>ing</w:t>
      </w:r>
      <w:r w:rsidRPr="00C44EF2">
        <w:rPr>
          <w:sz w:val="22"/>
          <w:szCs w:val="22"/>
          <w:lang w:val="en"/>
        </w:rPr>
        <w:t xml:space="preserve"> effect, which </w:t>
      </w:r>
      <w:r w:rsidRPr="00C90F89">
        <w:rPr>
          <w:sz w:val="22"/>
          <w:szCs w:val="22"/>
          <w:lang w:val="en"/>
        </w:rPr>
        <w:t>reached</w:t>
      </w:r>
      <w:r>
        <w:rPr>
          <w:sz w:val="22"/>
          <w:szCs w:val="22"/>
          <w:lang w:val="en"/>
        </w:rPr>
        <w:t xml:space="preserve"> +9.</w:t>
      </w:r>
      <w:r w:rsidR="00C10F7A">
        <w:rPr>
          <w:sz w:val="22"/>
          <w:szCs w:val="22"/>
          <w:lang w:val="en"/>
        </w:rPr>
        <w:t>7</w:t>
      </w:r>
      <w:r>
        <w:rPr>
          <w:sz w:val="22"/>
          <w:szCs w:val="22"/>
          <w:lang w:val="en"/>
        </w:rPr>
        <w:t xml:space="preserve"> pts </w:t>
      </w:r>
      <w:r w:rsidR="00253DAC" w:rsidRPr="00C7001A">
        <w:rPr>
          <w:sz w:val="22"/>
          <w:lang w:val="en"/>
        </w:rPr>
        <w:t xml:space="preserve">on the Automotive revenue </w:t>
      </w:r>
      <w:r w:rsidR="00AF7D0E">
        <w:rPr>
          <w:sz w:val="22"/>
          <w:szCs w:val="22"/>
          <w:lang w:val="en"/>
        </w:rPr>
        <w:t>vs 2021</w:t>
      </w:r>
      <w:r>
        <w:rPr>
          <w:sz w:val="22"/>
          <w:szCs w:val="22"/>
          <w:lang w:val="en"/>
        </w:rPr>
        <w:t xml:space="preserve"> (</w:t>
      </w:r>
      <w:r w:rsidRPr="00C90F89">
        <w:rPr>
          <w:sz w:val="22"/>
          <w:szCs w:val="22"/>
          <w:lang w:val="en"/>
        </w:rPr>
        <w:t>+</w:t>
      </w:r>
      <w:r>
        <w:rPr>
          <w:sz w:val="22"/>
          <w:szCs w:val="22"/>
          <w:lang w:val="en"/>
        </w:rPr>
        <w:t>12.</w:t>
      </w:r>
      <w:r w:rsidR="00EA53FC">
        <w:rPr>
          <w:sz w:val="22"/>
          <w:szCs w:val="22"/>
          <w:lang w:val="en"/>
        </w:rPr>
        <w:t>1</w:t>
      </w:r>
      <w:r w:rsidRPr="00C90F89">
        <w:rPr>
          <w:sz w:val="22"/>
          <w:szCs w:val="22"/>
          <w:lang w:val="en"/>
        </w:rPr>
        <w:t xml:space="preserve"> pts </w:t>
      </w:r>
      <w:r w:rsidRPr="00C44EF2">
        <w:rPr>
          <w:sz w:val="22"/>
          <w:szCs w:val="22"/>
          <w:lang w:val="en"/>
        </w:rPr>
        <w:t xml:space="preserve">in </w:t>
      </w:r>
      <w:r w:rsidR="00793F46">
        <w:rPr>
          <w:sz w:val="22"/>
          <w:szCs w:val="22"/>
          <w:lang w:val="en"/>
        </w:rPr>
        <w:t xml:space="preserve">2022 </w:t>
      </w:r>
      <w:r w:rsidRPr="00C44EF2">
        <w:rPr>
          <w:sz w:val="22"/>
          <w:szCs w:val="22"/>
          <w:lang w:val="en"/>
        </w:rPr>
        <w:t>H2 after +7.4</w:t>
      </w:r>
      <w:r>
        <w:rPr>
          <w:sz w:val="22"/>
          <w:szCs w:val="22"/>
          <w:lang w:val="en"/>
        </w:rPr>
        <w:t xml:space="preserve"> pt</w:t>
      </w:r>
      <w:r w:rsidRPr="00C44EF2">
        <w:rPr>
          <w:sz w:val="22"/>
          <w:szCs w:val="22"/>
          <w:lang w:val="en"/>
        </w:rPr>
        <w:t xml:space="preserve">s </w:t>
      </w:r>
      <w:r w:rsidRPr="00C44EF2">
        <w:rPr>
          <w:sz w:val="22"/>
          <w:lang w:val="en"/>
        </w:rPr>
        <w:t>in 2022 H1</w:t>
      </w:r>
      <w:r>
        <w:rPr>
          <w:sz w:val="22"/>
          <w:lang w:val="en"/>
        </w:rPr>
        <w:t>)</w:t>
      </w:r>
      <w:r w:rsidRPr="00C44EF2">
        <w:rPr>
          <w:sz w:val="22"/>
          <w:szCs w:val="22"/>
          <w:lang w:val="en"/>
        </w:rPr>
        <w:t>, thanks to the Renaulution commercial policy</w:t>
      </w:r>
    </w:p>
    <w:p w14:paraId="5CFFDB1D" w14:textId="1CE9DC93" w:rsidR="00D2193F" w:rsidRPr="003858B9" w:rsidRDefault="00D2193F" w:rsidP="00D033F0">
      <w:pPr>
        <w:numPr>
          <w:ilvl w:val="0"/>
          <w:numId w:val="1"/>
        </w:numPr>
        <w:spacing w:before="240" w:line="240" w:lineRule="auto"/>
        <w:ind w:left="284"/>
        <w:jc w:val="both"/>
        <w:rPr>
          <w:rFonts w:ascii="Renault Group" w:eastAsia="Renault Group" w:hAnsi="Renault Group" w:cs="Times New Roman"/>
          <w:b/>
          <w:sz w:val="22"/>
          <w:szCs w:val="22"/>
        </w:rPr>
      </w:pPr>
      <w:r w:rsidRPr="003858B9">
        <w:rPr>
          <w:rFonts w:ascii="Renault Group" w:eastAsia="Renault Group" w:hAnsi="Renault Group" w:cs="Times New Roman"/>
          <w:b/>
          <w:sz w:val="22"/>
          <w:szCs w:val="22"/>
          <w:lang w:val="en"/>
        </w:rPr>
        <w:t>202</w:t>
      </w:r>
      <w:r>
        <w:rPr>
          <w:rFonts w:ascii="Renault Group" w:eastAsia="Renault Group" w:hAnsi="Renault Group" w:cs="Times New Roman"/>
          <w:b/>
          <w:sz w:val="22"/>
          <w:szCs w:val="22"/>
          <w:lang w:val="en"/>
        </w:rPr>
        <w:t>3</w:t>
      </w:r>
      <w:r w:rsidR="006E112F">
        <w:rPr>
          <w:rFonts w:ascii="Renault Group" w:eastAsia="Renault Group" w:hAnsi="Renault Group" w:cs="Times New Roman"/>
          <w:b/>
          <w:sz w:val="22"/>
          <w:szCs w:val="22"/>
          <w:lang w:val="en"/>
        </w:rPr>
        <w:t xml:space="preserve"> F</w:t>
      </w:r>
      <w:r w:rsidR="00C13A6F">
        <w:rPr>
          <w:rFonts w:ascii="Renault Group" w:eastAsia="Renault Group" w:hAnsi="Renault Group" w:cs="Times New Roman"/>
          <w:b/>
          <w:sz w:val="22"/>
          <w:szCs w:val="22"/>
          <w:lang w:val="en"/>
        </w:rPr>
        <w:t>Y</w:t>
      </w:r>
      <w:r w:rsidR="00D76D89">
        <w:rPr>
          <w:rFonts w:ascii="Renault Group" w:eastAsia="Renault Group" w:hAnsi="Renault Group" w:cs="Times New Roman"/>
          <w:b/>
          <w:sz w:val="22"/>
          <w:szCs w:val="22"/>
          <w:lang w:val="en"/>
        </w:rPr>
        <w:t xml:space="preserve"> </w:t>
      </w:r>
      <w:r w:rsidR="006E112F">
        <w:rPr>
          <w:rFonts w:ascii="Renault Group" w:eastAsia="Renault Group" w:hAnsi="Renault Group" w:cs="Times New Roman"/>
          <w:b/>
          <w:sz w:val="22"/>
          <w:szCs w:val="22"/>
          <w:lang w:val="en"/>
        </w:rPr>
        <w:t>financial</w:t>
      </w:r>
      <w:r w:rsidRPr="003858B9">
        <w:rPr>
          <w:rFonts w:ascii="Renault Group" w:eastAsia="Renault Group" w:hAnsi="Renault Group" w:cs="Times New Roman"/>
          <w:b/>
          <w:sz w:val="22"/>
          <w:szCs w:val="22"/>
          <w:lang w:val="en"/>
        </w:rPr>
        <w:t xml:space="preserve"> outlook</w:t>
      </w:r>
    </w:p>
    <w:p w14:paraId="5E85D8AD" w14:textId="1A09C331" w:rsidR="00D2193F" w:rsidRPr="00D22BB1" w:rsidRDefault="00D2193F" w:rsidP="00D2193F">
      <w:pPr>
        <w:spacing w:line="240" w:lineRule="auto"/>
        <w:jc w:val="both"/>
        <w:rPr>
          <w:rFonts w:ascii="Renault Group" w:eastAsia="Renault Group" w:hAnsi="Renault Group" w:cs="Times New Roman"/>
          <w:sz w:val="22"/>
          <w:szCs w:val="22"/>
          <w:lang w:val="en-US"/>
        </w:rPr>
      </w:pPr>
      <w:r w:rsidRPr="00C36368">
        <w:rPr>
          <w:rFonts w:ascii="Renault Group" w:eastAsia="Renault Group" w:hAnsi="Renault Group" w:cs="Times New Roman"/>
          <w:color w:val="000000" w:themeColor="text1"/>
          <w:sz w:val="22"/>
          <w:szCs w:val="22"/>
          <w:lang w:val="en"/>
        </w:rPr>
        <w:t xml:space="preserve">In </w:t>
      </w:r>
      <w:r w:rsidR="001C3454">
        <w:rPr>
          <w:rFonts w:ascii="Renault Group" w:eastAsia="Renault Group" w:hAnsi="Renault Group" w:cs="Times New Roman"/>
          <w:color w:val="000000" w:themeColor="text1"/>
          <w:sz w:val="22"/>
          <w:szCs w:val="22"/>
          <w:lang w:val="en"/>
        </w:rPr>
        <w:t xml:space="preserve">a </w:t>
      </w:r>
      <w:r w:rsidRPr="00C36368">
        <w:rPr>
          <w:rFonts w:ascii="Renault Group" w:eastAsia="Renault Group" w:hAnsi="Renault Group" w:cs="Times New Roman"/>
          <w:color w:val="000000" w:themeColor="text1"/>
          <w:sz w:val="22"/>
          <w:szCs w:val="22"/>
          <w:lang w:val="en"/>
        </w:rPr>
        <w:t>still</w:t>
      </w:r>
      <w:r w:rsidR="001C3454">
        <w:rPr>
          <w:rFonts w:ascii="Renault Group" w:eastAsia="Renault Group" w:hAnsi="Renault Group" w:cs="Times New Roman"/>
          <w:color w:val="000000" w:themeColor="text1"/>
          <w:sz w:val="22"/>
          <w:szCs w:val="22"/>
          <w:lang w:val="en"/>
        </w:rPr>
        <w:t xml:space="preserve"> challenging</w:t>
      </w:r>
      <w:r w:rsidR="00D43C6E">
        <w:rPr>
          <w:rFonts w:ascii="Renault Group" w:eastAsia="Renault Group" w:hAnsi="Renault Group" w:cs="Times New Roman"/>
          <w:color w:val="000000" w:themeColor="text1"/>
          <w:sz w:val="22"/>
          <w:szCs w:val="22"/>
          <w:lang w:val="en"/>
        </w:rPr>
        <w:t xml:space="preserve"> environment</w:t>
      </w:r>
      <w:r w:rsidRPr="00C36368">
        <w:rPr>
          <w:rFonts w:ascii="Renault Group" w:eastAsia="Renault Group" w:hAnsi="Renault Group" w:cs="Times New Roman"/>
          <w:color w:val="000000" w:themeColor="text1"/>
          <w:sz w:val="22"/>
          <w:szCs w:val="22"/>
          <w:lang w:val="en"/>
        </w:rPr>
        <w:t xml:space="preserve">, </w:t>
      </w:r>
      <w:r w:rsidRPr="00D22BB1">
        <w:rPr>
          <w:rFonts w:ascii="Renault Group" w:eastAsia="Renault Group" w:hAnsi="Renault Group" w:cs="Times New Roman"/>
          <w:sz w:val="22"/>
          <w:szCs w:val="22"/>
          <w:lang w:val="en"/>
        </w:rPr>
        <w:t xml:space="preserve">the Group is aiming to </w:t>
      </w:r>
      <w:r>
        <w:rPr>
          <w:rFonts w:ascii="Renault Group" w:eastAsia="Renault Group" w:hAnsi="Renault Group" w:cs="Times New Roman"/>
          <w:sz w:val="22"/>
          <w:szCs w:val="22"/>
          <w:lang w:val="en"/>
        </w:rPr>
        <w:t>improve its performance in 2023 with</w:t>
      </w:r>
      <w:r w:rsidRPr="00D22BB1">
        <w:rPr>
          <w:rFonts w:ascii="Renault Group" w:eastAsia="Renault Group" w:hAnsi="Renault Group" w:cs="Times New Roman"/>
          <w:sz w:val="22"/>
          <w:szCs w:val="22"/>
          <w:lang w:val="en"/>
        </w:rPr>
        <w:t>:</w:t>
      </w:r>
    </w:p>
    <w:p w14:paraId="4FD64953" w14:textId="045C3A44" w:rsidR="00D2193F" w:rsidRPr="00E96566" w:rsidRDefault="00D2193F" w:rsidP="008413EE">
      <w:pPr>
        <w:numPr>
          <w:ilvl w:val="1"/>
          <w:numId w:val="1"/>
        </w:numPr>
        <w:spacing w:before="0" w:line="240" w:lineRule="auto"/>
        <w:ind w:left="851" w:hanging="284"/>
        <w:jc w:val="both"/>
        <w:rPr>
          <w:rFonts w:ascii="Renault Group" w:eastAsia="Renault Group" w:hAnsi="Renault Group" w:cs="Times New Roman"/>
          <w:sz w:val="22"/>
          <w:szCs w:val="22"/>
          <w:lang w:val="en-US"/>
        </w:rPr>
      </w:pPr>
      <w:r w:rsidRPr="00E96566">
        <w:rPr>
          <w:rFonts w:ascii="Renault Group" w:eastAsia="Renault Group" w:hAnsi="Renault Group" w:cs="Times New Roman"/>
          <w:sz w:val="22"/>
          <w:szCs w:val="22"/>
          <w:lang w:val="en"/>
        </w:rPr>
        <w:t xml:space="preserve">a Group operating margin superior or equal to </w:t>
      </w:r>
      <w:r w:rsidR="002A1783">
        <w:rPr>
          <w:rFonts w:ascii="Renault Group" w:eastAsia="Renault Group" w:hAnsi="Renault Group" w:cs="Times New Roman"/>
          <w:sz w:val="22"/>
          <w:szCs w:val="22"/>
          <w:lang w:val="en"/>
        </w:rPr>
        <w:t>6</w:t>
      </w:r>
      <w:r w:rsidRPr="00E96566">
        <w:rPr>
          <w:rFonts w:ascii="Renault Group" w:eastAsia="Renault Group" w:hAnsi="Renault Group" w:cs="Times New Roman"/>
          <w:sz w:val="22"/>
          <w:szCs w:val="22"/>
          <w:lang w:val="en"/>
        </w:rPr>
        <w:t xml:space="preserve">% </w:t>
      </w:r>
    </w:p>
    <w:p w14:paraId="3D0DC9CA" w14:textId="09A54ED0" w:rsidR="00491F6C" w:rsidRPr="00724AB9" w:rsidRDefault="00D2193F" w:rsidP="008413EE">
      <w:pPr>
        <w:numPr>
          <w:ilvl w:val="1"/>
          <w:numId w:val="1"/>
        </w:numPr>
        <w:spacing w:before="0" w:line="240" w:lineRule="auto"/>
        <w:ind w:left="851" w:hanging="284"/>
        <w:jc w:val="both"/>
        <w:rPr>
          <w:rFonts w:ascii="Renault Group" w:eastAsia="Renault Group" w:hAnsi="Renault Group" w:cs="Times New Roman"/>
          <w:sz w:val="22"/>
          <w:szCs w:val="22"/>
          <w:lang w:val="en-US"/>
        </w:rPr>
      </w:pPr>
      <w:r w:rsidRPr="00E96566">
        <w:rPr>
          <w:rFonts w:ascii="Renault Group" w:eastAsia="Renault Group" w:hAnsi="Renault Group" w:cs="Times New Roman"/>
          <w:sz w:val="22"/>
          <w:szCs w:val="22"/>
          <w:lang w:val="en-US"/>
        </w:rPr>
        <w:t>an Automotive operational</w:t>
      </w:r>
      <w:r w:rsidRPr="00E96566">
        <w:rPr>
          <w:rFonts w:ascii="Renault Group" w:eastAsia="Renault Group" w:hAnsi="Renault Group" w:cs="Times New Roman"/>
          <w:sz w:val="22"/>
          <w:szCs w:val="22"/>
          <w:lang w:val="en"/>
        </w:rPr>
        <w:t xml:space="preserve"> free cash flow superior or equal to €</w:t>
      </w:r>
      <w:r w:rsidR="000D53C4">
        <w:rPr>
          <w:rFonts w:ascii="Renault Group" w:eastAsia="Renault Group" w:hAnsi="Renault Group" w:cs="Times New Roman"/>
          <w:sz w:val="22"/>
          <w:szCs w:val="22"/>
          <w:lang w:val="en"/>
        </w:rPr>
        <w:t>2</w:t>
      </w:r>
      <w:r w:rsidRPr="00E96566">
        <w:rPr>
          <w:rFonts w:ascii="Renault Group" w:eastAsia="Renault Group" w:hAnsi="Renault Group" w:cs="Times New Roman"/>
          <w:sz w:val="22"/>
          <w:szCs w:val="22"/>
          <w:lang w:val="en"/>
        </w:rPr>
        <w:t xml:space="preserve">bn </w:t>
      </w:r>
    </w:p>
    <w:p w14:paraId="7300204B" w14:textId="77777777" w:rsidR="002C4A81" w:rsidRDefault="002C4A81" w:rsidP="00642560">
      <w:pPr>
        <w:spacing w:before="0" w:after="240" w:line="240" w:lineRule="auto"/>
        <w:jc w:val="both"/>
        <w:rPr>
          <w:b/>
          <w:bCs/>
          <w:sz w:val="22"/>
          <w:szCs w:val="22"/>
          <w:lang w:val="en"/>
        </w:rPr>
      </w:pPr>
    </w:p>
    <w:p w14:paraId="3F161626" w14:textId="180AD7A9" w:rsidR="006A3E01" w:rsidRPr="00642560" w:rsidRDefault="00491F6C" w:rsidP="00642560">
      <w:pPr>
        <w:spacing w:before="0" w:after="240" w:line="240" w:lineRule="auto"/>
        <w:jc w:val="both"/>
        <w:rPr>
          <w:rFonts w:ascii="Renault Group" w:eastAsia="Renault Group" w:hAnsi="Renault Group" w:cs="Times New Roman"/>
          <w:sz w:val="22"/>
          <w:szCs w:val="22"/>
          <w:lang w:val="en"/>
        </w:rPr>
      </w:pPr>
      <w:r w:rsidRPr="007944F5">
        <w:rPr>
          <w:b/>
          <w:bCs/>
          <w:sz w:val="22"/>
          <w:szCs w:val="22"/>
          <w:lang w:val="en"/>
        </w:rPr>
        <w:t>Boulogne-Billancourt, February 1</w:t>
      </w:r>
      <w:r w:rsidR="009E355E" w:rsidRPr="007944F5">
        <w:rPr>
          <w:b/>
          <w:bCs/>
          <w:sz w:val="22"/>
          <w:szCs w:val="22"/>
          <w:lang w:val="en"/>
        </w:rPr>
        <w:t>6</w:t>
      </w:r>
      <w:r w:rsidRPr="007944F5">
        <w:rPr>
          <w:b/>
          <w:bCs/>
          <w:sz w:val="22"/>
          <w:szCs w:val="22"/>
          <w:lang w:val="en"/>
        </w:rPr>
        <w:t>, 202</w:t>
      </w:r>
      <w:r w:rsidR="009E355E" w:rsidRPr="007944F5">
        <w:rPr>
          <w:b/>
          <w:bCs/>
          <w:sz w:val="22"/>
          <w:szCs w:val="22"/>
          <w:lang w:val="en"/>
        </w:rPr>
        <w:t>3</w:t>
      </w:r>
      <w:r w:rsidRPr="007944F5">
        <w:rPr>
          <w:b/>
          <w:bCs/>
          <w:sz w:val="22"/>
          <w:szCs w:val="22"/>
          <w:lang w:val="en"/>
        </w:rPr>
        <w:t xml:space="preserve"> </w:t>
      </w:r>
    </w:p>
    <w:p w14:paraId="769F98B7" w14:textId="62665338" w:rsidR="00AA10BD" w:rsidRDefault="00AA10BD" w:rsidP="0074719B">
      <w:pPr>
        <w:spacing w:after="360" w:line="240" w:lineRule="auto"/>
        <w:jc w:val="both"/>
        <w:rPr>
          <w:sz w:val="22"/>
          <w:szCs w:val="22"/>
          <w:lang w:val="en"/>
        </w:rPr>
      </w:pPr>
      <w:r w:rsidRPr="0074719B">
        <w:rPr>
          <w:sz w:val="22"/>
          <w:szCs w:val="22"/>
          <w:lang w:val="en"/>
        </w:rPr>
        <w:t xml:space="preserve">The consolidated financial statements of Renault Group and the company accounts of </w:t>
      </w:r>
      <w:r w:rsidRPr="0074719B">
        <w:rPr>
          <w:sz w:val="22"/>
          <w:szCs w:val="22"/>
          <w:lang w:val="en"/>
        </w:rPr>
        <w:br/>
        <w:t xml:space="preserve">Renault SA at December 31, 2022 were approved by the Board of Directors on February 15, 2023 under the chairmanship of Jean-Dominique Senard. </w:t>
      </w:r>
    </w:p>
    <w:p w14:paraId="18BCD0C6" w14:textId="5E646493" w:rsidR="006A3E01" w:rsidRPr="00B67981" w:rsidRDefault="006A3E01" w:rsidP="00052ED8">
      <w:pPr>
        <w:spacing w:before="0" w:after="120" w:line="240" w:lineRule="auto"/>
        <w:jc w:val="both"/>
        <w:rPr>
          <w:sz w:val="22"/>
          <w:szCs w:val="22"/>
          <w:lang w:val="en"/>
        </w:rPr>
      </w:pPr>
      <w:r w:rsidRPr="00B67981">
        <w:rPr>
          <w:sz w:val="22"/>
          <w:szCs w:val="22"/>
          <w:lang w:val="en"/>
        </w:rPr>
        <w:t xml:space="preserve">Reminder relative to the </w:t>
      </w:r>
      <w:r w:rsidR="009D796C" w:rsidRPr="00B67981">
        <w:rPr>
          <w:sz w:val="22"/>
          <w:szCs w:val="22"/>
          <w:lang w:val="en"/>
        </w:rPr>
        <w:t>impact</w:t>
      </w:r>
      <w:r w:rsidR="009A6AB5">
        <w:rPr>
          <w:sz w:val="22"/>
          <w:szCs w:val="22"/>
          <w:lang w:val="en"/>
        </w:rPr>
        <w:t>s</w:t>
      </w:r>
      <w:r w:rsidR="009D796C" w:rsidRPr="00B67981">
        <w:rPr>
          <w:sz w:val="22"/>
          <w:szCs w:val="22"/>
          <w:lang w:val="en"/>
        </w:rPr>
        <w:t xml:space="preserve"> </w:t>
      </w:r>
      <w:r w:rsidR="009D796C">
        <w:rPr>
          <w:sz w:val="22"/>
          <w:szCs w:val="22"/>
          <w:lang w:val="en"/>
        </w:rPr>
        <w:t xml:space="preserve">of the </w:t>
      </w:r>
      <w:r w:rsidR="00B01DC0">
        <w:rPr>
          <w:sz w:val="22"/>
          <w:szCs w:val="22"/>
          <w:lang w:val="en"/>
        </w:rPr>
        <w:t>disposal</w:t>
      </w:r>
      <w:r w:rsidRPr="00B67981">
        <w:rPr>
          <w:sz w:val="22"/>
          <w:szCs w:val="22"/>
          <w:lang w:val="en"/>
        </w:rPr>
        <w:t xml:space="preserve"> of Russia</w:t>
      </w:r>
      <w:r w:rsidR="009D796C">
        <w:rPr>
          <w:sz w:val="22"/>
          <w:szCs w:val="22"/>
          <w:lang w:val="en"/>
        </w:rPr>
        <w:t>n automotive</w:t>
      </w:r>
      <w:r w:rsidRPr="00B67981">
        <w:rPr>
          <w:sz w:val="22"/>
          <w:szCs w:val="22"/>
          <w:lang w:val="en"/>
        </w:rPr>
        <w:t xml:space="preserve"> </w:t>
      </w:r>
      <w:r w:rsidR="009D796C">
        <w:rPr>
          <w:sz w:val="22"/>
          <w:szCs w:val="22"/>
          <w:lang w:val="en"/>
        </w:rPr>
        <w:t>activities</w:t>
      </w:r>
      <w:r w:rsidRPr="00B67981">
        <w:rPr>
          <w:sz w:val="22"/>
          <w:szCs w:val="22"/>
          <w:lang w:val="en"/>
        </w:rPr>
        <w:t xml:space="preserve"> on financial</w:t>
      </w:r>
      <w:r w:rsidR="00246356">
        <w:rPr>
          <w:sz w:val="22"/>
          <w:szCs w:val="22"/>
          <w:lang w:val="en"/>
        </w:rPr>
        <w:t xml:space="preserve"> statements</w:t>
      </w:r>
      <w:r w:rsidR="00B67981">
        <w:rPr>
          <w:sz w:val="22"/>
          <w:szCs w:val="22"/>
          <w:lang w:val="en"/>
        </w:rPr>
        <w:t xml:space="preserve">: </w:t>
      </w:r>
    </w:p>
    <w:p w14:paraId="599842F0" w14:textId="27406F55" w:rsidR="00052ED8" w:rsidRPr="00B157D7" w:rsidRDefault="001334BF" w:rsidP="00052ED8">
      <w:pPr>
        <w:spacing w:before="0" w:after="120" w:line="240" w:lineRule="auto"/>
        <w:jc w:val="both"/>
        <w:rPr>
          <w:rFonts w:ascii="Renault Group" w:eastAsia="Renault Group" w:hAnsi="Renault Group" w:cs="Times New Roman"/>
          <w:sz w:val="22"/>
          <w:szCs w:val="22"/>
          <w:lang w:val="en-US"/>
        </w:rPr>
      </w:pPr>
      <w:r>
        <w:rPr>
          <w:sz w:val="22"/>
          <w:szCs w:val="22"/>
          <w:lang w:val="en"/>
        </w:rPr>
        <w:t xml:space="preserve">In </w:t>
      </w:r>
      <w:r w:rsidR="00052ED8" w:rsidRPr="0038376E">
        <w:rPr>
          <w:sz w:val="22"/>
          <w:szCs w:val="22"/>
          <w:lang w:val="en"/>
        </w:rPr>
        <w:t>May</w:t>
      </w:r>
      <w:r w:rsidR="00052ED8">
        <w:rPr>
          <w:sz w:val="22"/>
          <w:szCs w:val="22"/>
          <w:lang w:val="en"/>
        </w:rPr>
        <w:t xml:space="preserve"> </w:t>
      </w:r>
      <w:r w:rsidR="00052ED8" w:rsidRPr="0038376E">
        <w:rPr>
          <w:sz w:val="22"/>
          <w:szCs w:val="22"/>
          <w:lang w:val="en"/>
        </w:rPr>
        <w:t>2022</w:t>
      </w:r>
      <w:r w:rsidR="00052ED8">
        <w:rPr>
          <w:sz w:val="22"/>
          <w:szCs w:val="22"/>
          <w:lang w:val="en"/>
        </w:rPr>
        <w:t xml:space="preserve">, the </w:t>
      </w:r>
      <w:r w:rsidR="00052ED8" w:rsidRPr="0038376E">
        <w:rPr>
          <w:sz w:val="22"/>
          <w:szCs w:val="22"/>
          <w:lang w:val="en"/>
        </w:rPr>
        <w:t>Board of Directors of Renault Group unanimously approved the signing of agreements to sell 100% of Renault Group</w:t>
      </w:r>
      <w:r w:rsidR="00043121">
        <w:rPr>
          <w:sz w:val="22"/>
          <w:szCs w:val="22"/>
          <w:lang w:val="en"/>
        </w:rPr>
        <w:t>’</w:t>
      </w:r>
      <w:r w:rsidR="00052ED8" w:rsidRPr="0038376E">
        <w:rPr>
          <w:sz w:val="22"/>
          <w:szCs w:val="22"/>
          <w:lang w:val="en"/>
        </w:rPr>
        <w:t>s shares in Renault Russi</w:t>
      </w:r>
      <w:r w:rsidR="00052ED8">
        <w:rPr>
          <w:sz w:val="22"/>
          <w:szCs w:val="22"/>
          <w:lang w:val="en"/>
        </w:rPr>
        <w:t>a</w:t>
      </w:r>
      <w:r w:rsidR="00052ED8" w:rsidRPr="0038376E">
        <w:rPr>
          <w:sz w:val="22"/>
          <w:szCs w:val="22"/>
          <w:lang w:val="en"/>
        </w:rPr>
        <w:t xml:space="preserve"> to the City of Moscow and its 67.69% stake in AVTOVAZ to NAMI (the Central Institute for Research and Development of Automobiles and Engines</w:t>
      </w:r>
      <w:r w:rsidR="00052ED8" w:rsidRPr="00CF598B">
        <w:rPr>
          <w:sz w:val="22"/>
          <w:szCs w:val="22"/>
          <w:lang w:val="en"/>
        </w:rPr>
        <w:t>).</w:t>
      </w:r>
      <w:r w:rsidR="00052ED8">
        <w:rPr>
          <w:lang w:val="en"/>
        </w:rPr>
        <w:t xml:space="preserve"> </w:t>
      </w:r>
      <w:r w:rsidR="00052ED8">
        <w:rPr>
          <w:sz w:val="22"/>
          <w:szCs w:val="22"/>
          <w:lang w:val="en"/>
        </w:rPr>
        <w:t xml:space="preserve"> In addition, the</w:t>
      </w:r>
      <w:r w:rsidR="00052ED8">
        <w:rPr>
          <w:lang w:val="en"/>
        </w:rPr>
        <w:t xml:space="preserve"> </w:t>
      </w:r>
      <w:r w:rsidR="00052ED8" w:rsidRPr="00CF598B">
        <w:rPr>
          <w:sz w:val="22"/>
          <w:szCs w:val="22"/>
          <w:lang w:val="en"/>
        </w:rPr>
        <w:t xml:space="preserve">agreement provides for a </w:t>
      </w:r>
      <w:r w:rsidR="00052ED8">
        <w:rPr>
          <w:sz w:val="22"/>
          <w:szCs w:val="22"/>
          <w:lang w:val="en"/>
        </w:rPr>
        <w:t xml:space="preserve">call </w:t>
      </w:r>
      <w:r w:rsidR="00052ED8" w:rsidRPr="00CF598B">
        <w:rPr>
          <w:sz w:val="22"/>
          <w:szCs w:val="22"/>
          <w:lang w:val="en"/>
        </w:rPr>
        <w:t>option for Renault Group to buy back its</w:t>
      </w:r>
      <w:r w:rsidR="00052ED8" w:rsidRPr="00C40846">
        <w:rPr>
          <w:sz w:val="22"/>
          <w:szCs w:val="22"/>
          <w:lang w:val="en"/>
        </w:rPr>
        <w:t xml:space="preserve"> stake in AVTOVAZ, exercisable at certain periods over the next 6 years.</w:t>
      </w:r>
    </w:p>
    <w:p w14:paraId="414CD751" w14:textId="77777777" w:rsidR="00052ED8" w:rsidRPr="00B157D7" w:rsidRDefault="00052ED8" w:rsidP="00052ED8">
      <w:pPr>
        <w:spacing w:before="0" w:after="120" w:line="240" w:lineRule="auto"/>
        <w:jc w:val="both"/>
        <w:rPr>
          <w:rFonts w:ascii="Renault Group" w:eastAsia="Renault Group" w:hAnsi="Renault Group" w:cs="Times New Roman"/>
          <w:sz w:val="22"/>
          <w:szCs w:val="22"/>
          <w:lang w:val="en-US"/>
        </w:rPr>
      </w:pPr>
      <w:r>
        <w:rPr>
          <w:sz w:val="22"/>
          <w:szCs w:val="22"/>
          <w:lang w:val="en"/>
        </w:rPr>
        <w:t xml:space="preserve">As </w:t>
      </w:r>
      <w:r w:rsidRPr="00E86DF6">
        <w:rPr>
          <w:sz w:val="22"/>
          <w:szCs w:val="22"/>
          <w:lang w:val="en"/>
        </w:rPr>
        <w:t>a result</w:t>
      </w:r>
      <w:r>
        <w:rPr>
          <w:sz w:val="22"/>
          <w:szCs w:val="22"/>
          <w:lang w:val="en"/>
        </w:rPr>
        <w:t xml:space="preserve"> of these agreements: </w:t>
      </w:r>
    </w:p>
    <w:p w14:paraId="3BED0802" w14:textId="2F23A2A4" w:rsidR="00052ED8" w:rsidRPr="00B157D7" w:rsidRDefault="00052ED8" w:rsidP="008413EE">
      <w:pPr>
        <w:pStyle w:val="Paragraphedeliste"/>
        <w:numPr>
          <w:ilvl w:val="0"/>
          <w:numId w:val="14"/>
        </w:numPr>
        <w:spacing w:before="0" w:after="120" w:line="240" w:lineRule="auto"/>
        <w:ind w:left="851" w:hanging="284"/>
        <w:jc w:val="both"/>
        <w:rPr>
          <w:rFonts w:ascii="Renault Group" w:eastAsia="Renault Group" w:hAnsi="Renault Group" w:cs="Times New Roman"/>
          <w:sz w:val="22"/>
          <w:szCs w:val="22"/>
          <w:lang w:val="en-US"/>
        </w:rPr>
      </w:pPr>
      <w:r>
        <w:rPr>
          <w:sz w:val="22"/>
          <w:szCs w:val="22"/>
          <w:lang w:val="en"/>
        </w:rPr>
        <w:t xml:space="preserve">The </w:t>
      </w:r>
      <w:r w:rsidRPr="000C51A1">
        <w:rPr>
          <w:sz w:val="22"/>
          <w:szCs w:val="22"/>
          <w:lang w:val="en"/>
        </w:rPr>
        <w:t>Russian activities were deconsolidated in Renault Group</w:t>
      </w:r>
      <w:r w:rsidR="00043121">
        <w:rPr>
          <w:sz w:val="22"/>
          <w:szCs w:val="22"/>
          <w:lang w:val="en"/>
        </w:rPr>
        <w:t>’</w:t>
      </w:r>
      <w:r w:rsidRPr="000C51A1">
        <w:rPr>
          <w:sz w:val="22"/>
          <w:szCs w:val="22"/>
          <w:lang w:val="en"/>
        </w:rPr>
        <w:t xml:space="preserve">s </w:t>
      </w:r>
      <w:r>
        <w:rPr>
          <w:sz w:val="22"/>
          <w:szCs w:val="22"/>
          <w:lang w:val="en"/>
        </w:rPr>
        <w:t xml:space="preserve">2022 </w:t>
      </w:r>
      <w:r w:rsidRPr="000C51A1">
        <w:rPr>
          <w:sz w:val="22"/>
          <w:szCs w:val="22"/>
          <w:lang w:val="en"/>
        </w:rPr>
        <w:t>financial statements and treated as discontinued operations under IFRS 5</w:t>
      </w:r>
      <w:r w:rsidRPr="00F7574B">
        <w:rPr>
          <w:sz w:val="22"/>
          <w:szCs w:val="22"/>
          <w:lang w:val="en"/>
        </w:rPr>
        <w:t xml:space="preserve"> with retroactive effect from </w:t>
      </w:r>
      <w:r>
        <w:rPr>
          <w:sz w:val="22"/>
          <w:szCs w:val="22"/>
          <w:lang w:val="en"/>
        </w:rPr>
        <w:t>January 1</w:t>
      </w:r>
      <w:r w:rsidRPr="00240A98">
        <w:rPr>
          <w:sz w:val="22"/>
          <w:szCs w:val="22"/>
          <w:vertAlign w:val="superscript"/>
          <w:lang w:val="en"/>
        </w:rPr>
        <w:t>st</w:t>
      </w:r>
      <w:r>
        <w:rPr>
          <w:sz w:val="22"/>
          <w:szCs w:val="22"/>
          <w:lang w:val="en"/>
        </w:rPr>
        <w:t xml:space="preserve">, </w:t>
      </w:r>
      <w:r w:rsidRPr="00F7574B">
        <w:rPr>
          <w:sz w:val="22"/>
          <w:szCs w:val="22"/>
          <w:lang w:val="en"/>
        </w:rPr>
        <w:t>2022</w:t>
      </w:r>
      <w:r w:rsidRPr="000C51A1">
        <w:rPr>
          <w:sz w:val="22"/>
          <w:szCs w:val="22"/>
          <w:lang w:val="en"/>
        </w:rPr>
        <w:t xml:space="preserve">. </w:t>
      </w:r>
    </w:p>
    <w:p w14:paraId="0F58F671" w14:textId="4F9289B6" w:rsidR="00052ED8" w:rsidRPr="00B157D7" w:rsidRDefault="00052ED8" w:rsidP="008413EE">
      <w:pPr>
        <w:pStyle w:val="Paragraphedeliste"/>
        <w:numPr>
          <w:ilvl w:val="0"/>
          <w:numId w:val="14"/>
        </w:numPr>
        <w:spacing w:before="0" w:after="120" w:line="240" w:lineRule="auto"/>
        <w:ind w:left="851" w:hanging="284"/>
        <w:jc w:val="both"/>
        <w:rPr>
          <w:rFonts w:ascii="Renault Group" w:eastAsia="Renault Group" w:hAnsi="Renault Group" w:cs="Times New Roman"/>
          <w:sz w:val="22"/>
          <w:szCs w:val="22"/>
          <w:lang w:val="en-US"/>
        </w:rPr>
      </w:pPr>
      <w:r w:rsidRPr="00DB4B28">
        <w:rPr>
          <w:sz w:val="22"/>
          <w:szCs w:val="22"/>
          <w:lang w:val="en"/>
        </w:rPr>
        <w:t>The financial aggregates of continuing operations</w:t>
      </w:r>
      <w:r>
        <w:rPr>
          <w:sz w:val="22"/>
          <w:szCs w:val="22"/>
          <w:lang w:val="en"/>
        </w:rPr>
        <w:t xml:space="preserve"> for 2022 </w:t>
      </w:r>
      <w:r w:rsidRPr="001D20CA">
        <w:rPr>
          <w:sz w:val="22"/>
          <w:szCs w:val="22"/>
          <w:lang w:val="en"/>
        </w:rPr>
        <w:t xml:space="preserve">therefore no longer include </w:t>
      </w:r>
      <w:r>
        <w:rPr>
          <w:sz w:val="22"/>
          <w:szCs w:val="22"/>
          <w:lang w:val="en"/>
        </w:rPr>
        <w:t>the</w:t>
      </w:r>
      <w:r>
        <w:rPr>
          <w:lang w:val="en"/>
        </w:rPr>
        <w:t xml:space="preserve"> </w:t>
      </w:r>
      <w:r>
        <w:rPr>
          <w:sz w:val="22"/>
          <w:szCs w:val="22"/>
          <w:lang w:val="en"/>
        </w:rPr>
        <w:t>Russian i</w:t>
      </w:r>
      <w:r w:rsidRPr="00DA42D2">
        <w:rPr>
          <w:sz w:val="22"/>
          <w:szCs w:val="22"/>
          <w:lang w:val="en"/>
        </w:rPr>
        <w:t xml:space="preserve">ndustrial </w:t>
      </w:r>
      <w:r w:rsidRPr="001D20CA">
        <w:rPr>
          <w:sz w:val="22"/>
          <w:szCs w:val="22"/>
          <w:lang w:val="en"/>
        </w:rPr>
        <w:t xml:space="preserve">activities and the year 2021 has been </w:t>
      </w:r>
      <w:r>
        <w:rPr>
          <w:sz w:val="22"/>
          <w:szCs w:val="22"/>
          <w:lang w:val="en"/>
        </w:rPr>
        <w:t>adjust</w:t>
      </w:r>
      <w:r w:rsidRPr="001D20CA">
        <w:rPr>
          <w:sz w:val="22"/>
          <w:szCs w:val="22"/>
          <w:lang w:val="en"/>
        </w:rPr>
        <w:t xml:space="preserve">ed in line with this new scope of activity. </w:t>
      </w:r>
    </w:p>
    <w:p w14:paraId="62F30BFD" w14:textId="54C367C4" w:rsidR="00052ED8" w:rsidRPr="00B157D7" w:rsidRDefault="00052ED8" w:rsidP="008413EE">
      <w:pPr>
        <w:pStyle w:val="Paragraphedeliste"/>
        <w:numPr>
          <w:ilvl w:val="0"/>
          <w:numId w:val="14"/>
        </w:numPr>
        <w:spacing w:before="0" w:after="120" w:line="240" w:lineRule="auto"/>
        <w:ind w:left="851" w:hanging="284"/>
        <w:jc w:val="both"/>
        <w:rPr>
          <w:rFonts w:ascii="Renault Group" w:eastAsia="Renault Group" w:hAnsi="Renault Group" w:cs="Times New Roman"/>
          <w:sz w:val="22"/>
          <w:szCs w:val="22"/>
          <w:lang w:val="en-US"/>
        </w:rPr>
      </w:pPr>
      <w:r w:rsidRPr="00D56E88">
        <w:rPr>
          <w:sz w:val="22"/>
          <w:szCs w:val="22"/>
          <w:lang w:val="en"/>
        </w:rPr>
        <w:t xml:space="preserve">The result of discontinued operations represents a loss </w:t>
      </w:r>
      <w:r w:rsidRPr="00851D69">
        <w:rPr>
          <w:sz w:val="22"/>
          <w:szCs w:val="22"/>
          <w:lang w:val="en"/>
        </w:rPr>
        <w:t>of -€2.3 billion in</w:t>
      </w:r>
      <w:r w:rsidRPr="00D56E88">
        <w:rPr>
          <w:sz w:val="22"/>
          <w:szCs w:val="22"/>
          <w:lang w:val="en"/>
        </w:rPr>
        <w:t xml:space="preserve"> 2022, mainly </w:t>
      </w:r>
      <w:r>
        <w:rPr>
          <w:sz w:val="22"/>
          <w:szCs w:val="22"/>
          <w:lang w:val="en"/>
        </w:rPr>
        <w:t>due</w:t>
      </w:r>
      <w:r w:rsidRPr="00D56E88">
        <w:rPr>
          <w:sz w:val="22"/>
          <w:szCs w:val="22"/>
          <w:lang w:val="en"/>
        </w:rPr>
        <w:t xml:space="preserve"> to the impairment of the property, plant and equipment, intangible assets and goodwill of AVTOVAZ and Renault Russi</w:t>
      </w:r>
      <w:r>
        <w:rPr>
          <w:sz w:val="22"/>
          <w:szCs w:val="22"/>
          <w:lang w:val="en"/>
        </w:rPr>
        <w:t>a</w:t>
      </w:r>
      <w:r w:rsidRPr="00D56E88">
        <w:rPr>
          <w:sz w:val="22"/>
          <w:szCs w:val="22"/>
          <w:lang w:val="en"/>
        </w:rPr>
        <w:t xml:space="preserve"> as well as </w:t>
      </w:r>
      <w:r>
        <w:rPr>
          <w:sz w:val="22"/>
          <w:szCs w:val="22"/>
          <w:lang w:val="en"/>
        </w:rPr>
        <w:t xml:space="preserve">the impairment of </w:t>
      </w:r>
      <w:r w:rsidRPr="00D56E88">
        <w:rPr>
          <w:sz w:val="22"/>
          <w:szCs w:val="22"/>
          <w:lang w:val="en"/>
        </w:rPr>
        <w:t>specific assets held by the other entities of the Group</w:t>
      </w:r>
      <w:r>
        <w:rPr>
          <w:sz w:val="22"/>
          <w:szCs w:val="22"/>
          <w:lang w:val="en"/>
        </w:rPr>
        <w:t xml:space="preserve"> and the result of disposals </w:t>
      </w:r>
      <w:r w:rsidRPr="00D56E88">
        <w:rPr>
          <w:sz w:val="22"/>
          <w:szCs w:val="22"/>
          <w:lang w:val="en"/>
        </w:rPr>
        <w:t>on the Russian entities sold</w:t>
      </w:r>
      <w:r>
        <w:rPr>
          <w:sz w:val="22"/>
          <w:szCs w:val="22"/>
          <w:lang w:val="en"/>
        </w:rPr>
        <w:t>.</w:t>
      </w:r>
    </w:p>
    <w:p w14:paraId="312F712A" w14:textId="733234FD" w:rsidR="009E355E" w:rsidRPr="00E87841" w:rsidRDefault="00052ED8" w:rsidP="008413EE">
      <w:pPr>
        <w:pStyle w:val="Paragraphedeliste"/>
        <w:numPr>
          <w:ilvl w:val="0"/>
          <w:numId w:val="14"/>
        </w:numPr>
        <w:spacing w:before="0" w:after="120" w:line="240" w:lineRule="auto"/>
        <w:ind w:left="851" w:hanging="284"/>
        <w:jc w:val="both"/>
        <w:rPr>
          <w:rFonts w:ascii="Renault Group" w:eastAsia="Renault Group" w:hAnsi="Renault Group" w:cs="Times New Roman"/>
          <w:sz w:val="22"/>
          <w:szCs w:val="22"/>
          <w:lang w:val="en-US"/>
        </w:rPr>
      </w:pPr>
      <w:r>
        <w:rPr>
          <w:sz w:val="22"/>
          <w:szCs w:val="22"/>
          <w:lang w:val="en"/>
        </w:rPr>
        <w:t xml:space="preserve">The Automotive net debt was </w:t>
      </w:r>
      <w:r w:rsidRPr="005A6E50">
        <w:rPr>
          <w:sz w:val="22"/>
          <w:szCs w:val="22"/>
          <w:lang w:val="en"/>
        </w:rPr>
        <w:t xml:space="preserve">reduced by €0.5 billion </w:t>
      </w:r>
      <w:r>
        <w:rPr>
          <w:sz w:val="22"/>
          <w:szCs w:val="22"/>
          <w:lang w:val="en"/>
        </w:rPr>
        <w:t xml:space="preserve">from -€1.6 billion </w:t>
      </w:r>
      <w:r w:rsidRPr="005A6E50">
        <w:rPr>
          <w:sz w:val="22"/>
          <w:szCs w:val="22"/>
          <w:lang w:val="en"/>
        </w:rPr>
        <w:t xml:space="preserve">to </w:t>
      </w:r>
      <w:r>
        <w:rPr>
          <w:sz w:val="22"/>
          <w:szCs w:val="22"/>
          <w:lang w:val="en"/>
        </w:rPr>
        <w:t>-</w:t>
      </w:r>
      <w:r w:rsidRPr="005A6E50">
        <w:rPr>
          <w:sz w:val="22"/>
          <w:szCs w:val="22"/>
          <w:lang w:val="en"/>
        </w:rPr>
        <w:t>€1.1</w:t>
      </w:r>
      <w:r>
        <w:rPr>
          <w:lang w:val="en"/>
        </w:rPr>
        <w:t xml:space="preserve"> </w:t>
      </w:r>
      <w:r>
        <w:rPr>
          <w:sz w:val="22"/>
          <w:szCs w:val="22"/>
          <w:lang w:val="en"/>
        </w:rPr>
        <w:t xml:space="preserve">billion at December 31, 2021. </w:t>
      </w:r>
    </w:p>
    <w:p w14:paraId="3BB225E9" w14:textId="77777777" w:rsidR="00ED28EF" w:rsidRDefault="00ED28EF" w:rsidP="00491F6C">
      <w:pPr>
        <w:spacing w:before="0" w:line="240" w:lineRule="auto"/>
        <w:jc w:val="both"/>
        <w:rPr>
          <w:rFonts w:ascii="Renault Group" w:eastAsia="Renault Group" w:hAnsi="Renault Group" w:cs="Times New Roman"/>
          <w:sz w:val="22"/>
          <w:szCs w:val="22"/>
          <w:lang w:val="en"/>
        </w:rPr>
      </w:pPr>
    </w:p>
    <w:p w14:paraId="7EED8BB2" w14:textId="65D984D8" w:rsidR="004A7B97" w:rsidRPr="001F5115" w:rsidRDefault="004A7B97" w:rsidP="004A7B97">
      <w:pPr>
        <w:spacing w:before="0" w:after="360" w:line="240" w:lineRule="auto"/>
        <w:jc w:val="both"/>
        <w:rPr>
          <w:lang w:val="en"/>
        </w:rPr>
      </w:pPr>
      <w:r w:rsidRPr="00BB20A8">
        <w:rPr>
          <w:b/>
          <w:bCs/>
          <w:sz w:val="22"/>
          <w:szCs w:val="22"/>
          <w:lang w:val="en"/>
        </w:rPr>
        <w:t xml:space="preserve">Group </w:t>
      </w:r>
      <w:r w:rsidRPr="004D42C5">
        <w:rPr>
          <w:b/>
          <w:sz w:val="22"/>
          <w:szCs w:val="22"/>
          <w:lang w:val="en"/>
        </w:rPr>
        <w:t>revenue</w:t>
      </w:r>
      <w:r w:rsidRPr="004D42C5">
        <w:rPr>
          <w:sz w:val="22"/>
          <w:szCs w:val="22"/>
          <w:lang w:val="en"/>
        </w:rPr>
        <w:t xml:space="preserve"> reached €</w:t>
      </w:r>
      <w:r w:rsidR="00BE47EA">
        <w:rPr>
          <w:sz w:val="22"/>
          <w:szCs w:val="22"/>
          <w:lang w:val="en"/>
        </w:rPr>
        <w:t>46,3</w:t>
      </w:r>
      <w:r w:rsidR="00657F61">
        <w:rPr>
          <w:sz w:val="22"/>
          <w:szCs w:val="22"/>
          <w:lang w:val="en"/>
        </w:rPr>
        <w:t>91</w:t>
      </w:r>
      <w:r w:rsidRPr="004D42C5">
        <w:rPr>
          <w:sz w:val="22"/>
          <w:szCs w:val="22"/>
          <w:lang w:val="en"/>
        </w:rPr>
        <w:t xml:space="preserve"> million, up</w:t>
      </w:r>
      <w:r w:rsidR="00BE47EA">
        <w:rPr>
          <w:sz w:val="22"/>
          <w:szCs w:val="22"/>
          <w:lang w:val="en"/>
        </w:rPr>
        <w:t xml:space="preserve"> 11.</w:t>
      </w:r>
      <w:r w:rsidR="00657F61">
        <w:rPr>
          <w:sz w:val="22"/>
          <w:szCs w:val="22"/>
          <w:lang w:val="en"/>
        </w:rPr>
        <w:t>4</w:t>
      </w:r>
      <w:r w:rsidRPr="004D42C5">
        <w:rPr>
          <w:sz w:val="22"/>
          <w:szCs w:val="22"/>
          <w:lang w:val="en"/>
        </w:rPr>
        <w:t xml:space="preserve">% compared </w:t>
      </w:r>
      <w:r>
        <w:rPr>
          <w:sz w:val="22"/>
          <w:szCs w:val="22"/>
          <w:lang w:val="en"/>
        </w:rPr>
        <w:t xml:space="preserve">to </w:t>
      </w:r>
      <w:r w:rsidRPr="004D42C5">
        <w:rPr>
          <w:sz w:val="22"/>
          <w:szCs w:val="22"/>
          <w:lang w:val="en"/>
        </w:rPr>
        <w:t>202</w:t>
      </w:r>
      <w:r>
        <w:rPr>
          <w:sz w:val="22"/>
          <w:szCs w:val="22"/>
          <w:lang w:val="en"/>
        </w:rPr>
        <w:t>1</w:t>
      </w:r>
      <w:r w:rsidRPr="004D42C5">
        <w:rPr>
          <w:sz w:val="22"/>
          <w:szCs w:val="22"/>
          <w:lang w:val="en"/>
        </w:rPr>
        <w:t>. At constant exchange rates</w:t>
      </w:r>
      <w:r w:rsidRPr="004D42C5">
        <w:rPr>
          <w:sz w:val="22"/>
          <w:szCs w:val="22"/>
          <w:vertAlign w:val="superscript"/>
          <w:lang w:val="en"/>
        </w:rPr>
        <w:footnoteReference w:id="6"/>
      </w:r>
      <w:r w:rsidRPr="004D42C5">
        <w:rPr>
          <w:sz w:val="22"/>
          <w:szCs w:val="22"/>
          <w:lang w:val="en"/>
        </w:rPr>
        <w:t xml:space="preserve">, it </w:t>
      </w:r>
      <w:r>
        <w:rPr>
          <w:sz w:val="22"/>
          <w:szCs w:val="22"/>
          <w:lang w:val="en"/>
        </w:rPr>
        <w:t xml:space="preserve">increased by </w:t>
      </w:r>
      <w:r w:rsidR="007B1DDF">
        <w:rPr>
          <w:sz w:val="22"/>
          <w:szCs w:val="22"/>
          <w:lang w:val="en"/>
        </w:rPr>
        <w:t>12.</w:t>
      </w:r>
      <w:r w:rsidR="00657F61">
        <w:rPr>
          <w:sz w:val="22"/>
          <w:szCs w:val="22"/>
          <w:lang w:val="en"/>
        </w:rPr>
        <w:t>4</w:t>
      </w:r>
      <w:r w:rsidRPr="004D42C5">
        <w:rPr>
          <w:sz w:val="22"/>
          <w:szCs w:val="22"/>
          <w:lang w:val="en"/>
        </w:rPr>
        <w:t>% (</w:t>
      </w:r>
      <w:r w:rsidR="0097708C">
        <w:rPr>
          <w:sz w:val="22"/>
          <w:szCs w:val="22"/>
          <w:lang w:val="en"/>
        </w:rPr>
        <w:t xml:space="preserve">-1 point of </w:t>
      </w:r>
      <w:r w:rsidRPr="004D42C5">
        <w:rPr>
          <w:sz w:val="22"/>
          <w:szCs w:val="22"/>
          <w:lang w:val="en"/>
        </w:rPr>
        <w:t>negative exchange rate</w:t>
      </w:r>
      <w:r w:rsidR="00FC768F">
        <w:rPr>
          <w:sz w:val="22"/>
          <w:szCs w:val="22"/>
          <w:lang w:val="en"/>
        </w:rPr>
        <w:t>s</w:t>
      </w:r>
      <w:r w:rsidRPr="004D42C5">
        <w:rPr>
          <w:sz w:val="22"/>
          <w:szCs w:val="22"/>
          <w:lang w:val="en"/>
        </w:rPr>
        <w:t xml:space="preserve"> effect</w:t>
      </w:r>
      <w:r w:rsidRPr="001F5115">
        <w:rPr>
          <w:sz w:val="22"/>
          <w:szCs w:val="22"/>
          <w:lang w:val="en"/>
        </w:rPr>
        <w:t>).</w:t>
      </w:r>
    </w:p>
    <w:p w14:paraId="223BAFDF" w14:textId="608D1202" w:rsidR="00AD647D" w:rsidRPr="003F2543" w:rsidRDefault="004A7B97" w:rsidP="003F2543">
      <w:pPr>
        <w:spacing w:line="240" w:lineRule="auto"/>
        <w:jc w:val="both"/>
        <w:rPr>
          <w:sz w:val="22"/>
          <w:szCs w:val="22"/>
          <w:lang w:val="en"/>
        </w:rPr>
      </w:pPr>
      <w:r w:rsidRPr="004D42C5">
        <w:rPr>
          <w:b/>
          <w:sz w:val="22"/>
          <w:szCs w:val="22"/>
          <w:lang w:val="en"/>
        </w:rPr>
        <w:t xml:space="preserve">Automotive revenue </w:t>
      </w:r>
      <w:r>
        <w:rPr>
          <w:sz w:val="22"/>
          <w:szCs w:val="22"/>
          <w:lang w:val="en"/>
        </w:rPr>
        <w:t>stood at</w:t>
      </w:r>
      <w:r w:rsidRPr="004D42C5">
        <w:rPr>
          <w:sz w:val="22"/>
          <w:szCs w:val="22"/>
          <w:lang w:val="en"/>
        </w:rPr>
        <w:t xml:space="preserve"> </w:t>
      </w:r>
      <w:r w:rsidRPr="00772533">
        <w:rPr>
          <w:sz w:val="22"/>
          <w:szCs w:val="24"/>
          <w:lang w:val="en"/>
        </w:rPr>
        <w:t>€</w:t>
      </w:r>
      <w:r w:rsidR="00313C00">
        <w:rPr>
          <w:sz w:val="22"/>
          <w:szCs w:val="22"/>
          <w:lang w:val="en"/>
        </w:rPr>
        <w:t>43,1</w:t>
      </w:r>
      <w:r w:rsidR="007D0150">
        <w:rPr>
          <w:sz w:val="22"/>
          <w:szCs w:val="22"/>
          <w:lang w:val="en"/>
        </w:rPr>
        <w:t>21</w:t>
      </w:r>
      <w:r w:rsidR="00313C00">
        <w:rPr>
          <w:sz w:val="22"/>
          <w:szCs w:val="22"/>
          <w:lang w:val="en"/>
        </w:rPr>
        <w:t xml:space="preserve"> </w:t>
      </w:r>
      <w:r w:rsidRPr="004D42C5">
        <w:rPr>
          <w:sz w:val="22"/>
          <w:szCs w:val="22"/>
          <w:lang w:val="en"/>
        </w:rPr>
        <w:t xml:space="preserve">million, up </w:t>
      </w:r>
      <w:r w:rsidR="00177898">
        <w:rPr>
          <w:sz w:val="22"/>
          <w:szCs w:val="22"/>
          <w:lang w:val="en"/>
        </w:rPr>
        <w:t>11.4</w:t>
      </w:r>
      <w:r w:rsidRPr="004D42C5">
        <w:rPr>
          <w:sz w:val="22"/>
          <w:szCs w:val="22"/>
          <w:lang w:val="en"/>
        </w:rPr>
        <w:t xml:space="preserve">% compared </w:t>
      </w:r>
      <w:r>
        <w:rPr>
          <w:sz w:val="22"/>
          <w:szCs w:val="22"/>
          <w:lang w:val="en"/>
        </w:rPr>
        <w:t xml:space="preserve">to </w:t>
      </w:r>
      <w:r w:rsidRPr="004D42C5">
        <w:rPr>
          <w:sz w:val="22"/>
          <w:szCs w:val="22"/>
          <w:lang w:val="en"/>
        </w:rPr>
        <w:t>202</w:t>
      </w:r>
      <w:r>
        <w:rPr>
          <w:sz w:val="22"/>
          <w:szCs w:val="22"/>
          <w:lang w:val="en"/>
        </w:rPr>
        <w:t>1</w:t>
      </w:r>
      <w:r w:rsidRPr="004D42C5">
        <w:rPr>
          <w:sz w:val="22"/>
          <w:szCs w:val="22"/>
          <w:lang w:val="en"/>
        </w:rPr>
        <w:t xml:space="preserve">. </w:t>
      </w:r>
      <w:r w:rsidR="00AB710A" w:rsidRPr="004D42C5">
        <w:rPr>
          <w:sz w:val="22"/>
          <w:szCs w:val="22"/>
          <w:lang w:val="en"/>
        </w:rPr>
        <w:t>At constant exchange rates</w:t>
      </w:r>
      <w:r w:rsidR="00CC7472">
        <w:rPr>
          <w:rStyle w:val="Appelnotedebasdep"/>
          <w:sz w:val="22"/>
          <w:szCs w:val="22"/>
          <w:lang w:val="en"/>
        </w:rPr>
        <w:footnoteReference w:id="7"/>
      </w:r>
      <w:r w:rsidR="00AB710A" w:rsidRPr="004D42C5">
        <w:rPr>
          <w:sz w:val="22"/>
          <w:szCs w:val="22"/>
          <w:lang w:val="en"/>
        </w:rPr>
        <w:t xml:space="preserve">, it </w:t>
      </w:r>
      <w:r w:rsidR="00AB710A">
        <w:rPr>
          <w:sz w:val="22"/>
          <w:szCs w:val="22"/>
          <w:lang w:val="en"/>
        </w:rPr>
        <w:t xml:space="preserve">increased </w:t>
      </w:r>
      <w:r w:rsidR="00AB710A" w:rsidRPr="009013C6">
        <w:rPr>
          <w:sz w:val="22"/>
          <w:szCs w:val="22"/>
          <w:lang w:val="en"/>
        </w:rPr>
        <w:t>by 12.</w:t>
      </w:r>
      <w:r w:rsidR="00CA165E" w:rsidRPr="009013C6">
        <w:rPr>
          <w:sz w:val="22"/>
          <w:szCs w:val="22"/>
          <w:lang w:val="en"/>
        </w:rPr>
        <w:t>6</w:t>
      </w:r>
      <w:r w:rsidR="00AB710A" w:rsidRPr="009013C6">
        <w:rPr>
          <w:sz w:val="22"/>
          <w:szCs w:val="22"/>
          <w:lang w:val="en"/>
        </w:rPr>
        <w:t>% (-</w:t>
      </w:r>
      <w:r w:rsidR="00CA165E">
        <w:rPr>
          <w:sz w:val="22"/>
          <w:szCs w:val="22"/>
          <w:lang w:val="en"/>
        </w:rPr>
        <w:t>1.2</w:t>
      </w:r>
      <w:r w:rsidR="00AB710A">
        <w:rPr>
          <w:sz w:val="22"/>
          <w:szCs w:val="22"/>
          <w:lang w:val="en"/>
        </w:rPr>
        <w:t xml:space="preserve"> point</w:t>
      </w:r>
      <w:r w:rsidR="00445EFE">
        <w:rPr>
          <w:sz w:val="22"/>
          <w:szCs w:val="22"/>
          <w:lang w:val="en"/>
        </w:rPr>
        <w:t>s</w:t>
      </w:r>
      <w:r w:rsidR="00AB710A">
        <w:rPr>
          <w:sz w:val="22"/>
          <w:szCs w:val="22"/>
          <w:lang w:val="en"/>
        </w:rPr>
        <w:t xml:space="preserve"> of </w:t>
      </w:r>
      <w:r w:rsidR="00AB710A" w:rsidRPr="004D42C5">
        <w:rPr>
          <w:sz w:val="22"/>
          <w:szCs w:val="22"/>
          <w:lang w:val="en"/>
        </w:rPr>
        <w:t>negative exchange rate</w:t>
      </w:r>
      <w:r w:rsidR="00FC768F">
        <w:rPr>
          <w:sz w:val="22"/>
          <w:szCs w:val="22"/>
          <w:lang w:val="en"/>
        </w:rPr>
        <w:t>s</w:t>
      </w:r>
      <w:r w:rsidR="00AB710A" w:rsidRPr="004D42C5">
        <w:rPr>
          <w:sz w:val="22"/>
          <w:szCs w:val="22"/>
          <w:lang w:val="en"/>
        </w:rPr>
        <w:t xml:space="preserve"> effect mainly related to </w:t>
      </w:r>
      <w:r w:rsidR="00AB710A" w:rsidRPr="001F5115">
        <w:rPr>
          <w:sz w:val="22"/>
          <w:szCs w:val="22"/>
          <w:lang w:val="en"/>
        </w:rPr>
        <w:t>the Turkish lira and Argentinean peso</w:t>
      </w:r>
      <w:r w:rsidR="00FC768F">
        <w:rPr>
          <w:sz w:val="22"/>
          <w:szCs w:val="22"/>
          <w:lang w:val="en"/>
        </w:rPr>
        <w:t xml:space="preserve"> devaluation</w:t>
      </w:r>
      <w:r w:rsidR="00AB710A" w:rsidRPr="001F5115">
        <w:rPr>
          <w:sz w:val="22"/>
          <w:szCs w:val="22"/>
          <w:lang w:val="en"/>
        </w:rPr>
        <w:t>)</w:t>
      </w:r>
      <w:r w:rsidR="00AD647D">
        <w:rPr>
          <w:sz w:val="22"/>
          <w:szCs w:val="22"/>
          <w:lang w:val="en"/>
        </w:rPr>
        <w:t>.</w:t>
      </w:r>
    </w:p>
    <w:p w14:paraId="55C52BFA" w14:textId="0EA54D65" w:rsidR="00A16D98" w:rsidRPr="003F2543" w:rsidRDefault="00C029A5" w:rsidP="003F2543">
      <w:pPr>
        <w:spacing w:line="240" w:lineRule="auto"/>
        <w:jc w:val="both"/>
        <w:rPr>
          <w:sz w:val="22"/>
          <w:szCs w:val="22"/>
          <w:lang w:val="en"/>
        </w:rPr>
      </w:pPr>
      <w:r w:rsidRPr="00F04C46">
        <w:rPr>
          <w:sz w:val="22"/>
          <w:szCs w:val="22"/>
          <w:lang w:val="en"/>
        </w:rPr>
        <w:lastRenderedPageBreak/>
        <w:t>Volume effect stood at +3.4 points</w:t>
      </w:r>
      <w:r w:rsidR="00E040C0">
        <w:rPr>
          <w:sz w:val="22"/>
          <w:szCs w:val="22"/>
          <w:lang w:val="en"/>
        </w:rPr>
        <w:t xml:space="preserve"> thanks to the </w:t>
      </w:r>
      <w:r w:rsidR="00405B18">
        <w:rPr>
          <w:sz w:val="22"/>
          <w:szCs w:val="22"/>
          <w:lang w:val="en"/>
        </w:rPr>
        <w:t xml:space="preserve">commercial </w:t>
      </w:r>
      <w:r w:rsidR="00E040C0">
        <w:rPr>
          <w:sz w:val="22"/>
          <w:szCs w:val="22"/>
          <w:lang w:val="en"/>
        </w:rPr>
        <w:t>success of vehicles</w:t>
      </w:r>
      <w:r w:rsidR="00405B18">
        <w:rPr>
          <w:sz w:val="22"/>
          <w:szCs w:val="22"/>
          <w:lang w:val="en"/>
        </w:rPr>
        <w:t xml:space="preserve"> coupled with an improved </w:t>
      </w:r>
      <w:r w:rsidR="008C223F">
        <w:rPr>
          <w:sz w:val="22"/>
          <w:szCs w:val="22"/>
          <w:lang w:val="en"/>
        </w:rPr>
        <w:t>availability of EC components</w:t>
      </w:r>
      <w:r w:rsidRPr="00F04C46">
        <w:rPr>
          <w:sz w:val="22"/>
          <w:szCs w:val="22"/>
          <w:lang w:val="en"/>
        </w:rPr>
        <w:t>.</w:t>
      </w:r>
      <w:r w:rsidR="008A362B" w:rsidRPr="003F2543">
        <w:rPr>
          <w:sz w:val="22"/>
          <w:szCs w:val="22"/>
          <w:lang w:val="en"/>
        </w:rPr>
        <w:t xml:space="preserve"> Invoices outperformed sales because of delays in the delivery of vehicles ordered by and invoiced to the </w:t>
      </w:r>
      <w:r w:rsidR="00FC768F" w:rsidRPr="003F2543">
        <w:rPr>
          <w:sz w:val="22"/>
          <w:szCs w:val="22"/>
          <w:lang w:val="en"/>
        </w:rPr>
        <w:t xml:space="preserve">independent </w:t>
      </w:r>
      <w:r w:rsidR="008A362B" w:rsidRPr="003F2543">
        <w:rPr>
          <w:sz w:val="22"/>
          <w:szCs w:val="22"/>
          <w:lang w:val="en"/>
        </w:rPr>
        <w:t>dealers to answer their customers’ demand. These delays were due to outbound logistic tensions at the end of the year.</w:t>
      </w:r>
    </w:p>
    <w:p w14:paraId="34608A4D" w14:textId="49316891" w:rsidR="007E6CB3" w:rsidRPr="002C4A81" w:rsidRDefault="004A7B97" w:rsidP="004A7B97">
      <w:pPr>
        <w:spacing w:line="240" w:lineRule="auto"/>
        <w:jc w:val="both"/>
        <w:rPr>
          <w:sz w:val="22"/>
          <w:szCs w:val="22"/>
          <w:lang w:val="en"/>
        </w:rPr>
      </w:pPr>
      <w:r w:rsidRPr="00F04C46">
        <w:rPr>
          <w:sz w:val="22"/>
          <w:szCs w:val="22"/>
          <w:lang w:val="en"/>
        </w:rPr>
        <w:t xml:space="preserve">The price effect, positive by </w:t>
      </w:r>
      <w:r w:rsidR="005A000E">
        <w:rPr>
          <w:sz w:val="22"/>
          <w:szCs w:val="22"/>
          <w:lang w:val="en"/>
        </w:rPr>
        <w:t>+</w:t>
      </w:r>
      <w:r w:rsidR="002A7226" w:rsidRPr="00F04C46">
        <w:rPr>
          <w:sz w:val="22"/>
          <w:szCs w:val="22"/>
          <w:lang w:val="en"/>
        </w:rPr>
        <w:t>9.</w:t>
      </w:r>
      <w:r w:rsidR="002A012A">
        <w:rPr>
          <w:sz w:val="22"/>
          <w:szCs w:val="22"/>
          <w:lang w:val="en"/>
        </w:rPr>
        <w:t>7</w:t>
      </w:r>
      <w:r w:rsidR="002A7226" w:rsidRPr="00F04C46">
        <w:rPr>
          <w:sz w:val="22"/>
          <w:szCs w:val="22"/>
          <w:lang w:val="en"/>
        </w:rPr>
        <w:t xml:space="preserve"> point</w:t>
      </w:r>
      <w:r w:rsidR="004D3D1C" w:rsidRPr="00F04C46">
        <w:rPr>
          <w:sz w:val="22"/>
          <w:szCs w:val="22"/>
          <w:lang w:val="en"/>
        </w:rPr>
        <w:t>s</w:t>
      </w:r>
      <w:r w:rsidRPr="00F04C46">
        <w:rPr>
          <w:sz w:val="22"/>
          <w:szCs w:val="22"/>
          <w:lang w:val="en"/>
        </w:rPr>
        <w:t xml:space="preserve">, reflected the continuation of </w:t>
      </w:r>
      <w:r w:rsidR="000A77FC">
        <w:rPr>
          <w:sz w:val="22"/>
          <w:szCs w:val="22"/>
          <w:lang w:val="en"/>
        </w:rPr>
        <w:t>the Group’s</w:t>
      </w:r>
      <w:r w:rsidRPr="00F04C46">
        <w:rPr>
          <w:sz w:val="22"/>
          <w:szCs w:val="22"/>
          <w:lang w:val="en"/>
        </w:rPr>
        <w:t xml:space="preserve"> commercial policy, launched in</w:t>
      </w:r>
      <w:r w:rsidRPr="00F04C46">
        <w:rPr>
          <w:lang w:val="en"/>
        </w:rPr>
        <w:t xml:space="preserve"> </w:t>
      </w:r>
      <w:r w:rsidRPr="00F04C46">
        <w:rPr>
          <w:sz w:val="22"/>
          <w:szCs w:val="22"/>
          <w:lang w:val="en"/>
        </w:rPr>
        <w:t>2020 Q3, focused on value over volume</w:t>
      </w:r>
      <w:r w:rsidR="00370A23">
        <w:rPr>
          <w:sz w:val="22"/>
          <w:szCs w:val="22"/>
          <w:lang w:val="en"/>
        </w:rPr>
        <w:t>,</w:t>
      </w:r>
      <w:r w:rsidRPr="00F04C46">
        <w:rPr>
          <w:sz w:val="22"/>
          <w:szCs w:val="22"/>
          <w:lang w:val="en"/>
        </w:rPr>
        <w:t xml:space="preserve"> as well as price increases to offset cost inflation, and an optimization of</w:t>
      </w:r>
      <w:r w:rsidRPr="00F04C46">
        <w:rPr>
          <w:lang w:val="en"/>
        </w:rPr>
        <w:t xml:space="preserve"> </w:t>
      </w:r>
      <w:r w:rsidRPr="00F04C46">
        <w:rPr>
          <w:sz w:val="22"/>
          <w:szCs w:val="22"/>
          <w:lang w:val="en"/>
        </w:rPr>
        <w:t xml:space="preserve">commercial discounts. </w:t>
      </w:r>
      <w:r w:rsidRPr="00F04C46">
        <w:rPr>
          <w:lang w:val="en"/>
        </w:rPr>
        <w:t xml:space="preserve"> </w:t>
      </w:r>
      <w:r w:rsidRPr="00F04C46">
        <w:rPr>
          <w:sz w:val="22"/>
          <w:szCs w:val="22"/>
          <w:lang w:val="en"/>
        </w:rPr>
        <w:t xml:space="preserve">It </w:t>
      </w:r>
      <w:r w:rsidRPr="006D344B">
        <w:rPr>
          <w:sz w:val="22"/>
          <w:szCs w:val="22"/>
          <w:lang w:val="en"/>
        </w:rPr>
        <w:t>amounted to +</w:t>
      </w:r>
      <w:r w:rsidR="00B859A7" w:rsidRPr="006D344B">
        <w:rPr>
          <w:sz w:val="22"/>
          <w:szCs w:val="22"/>
          <w:lang w:val="en"/>
        </w:rPr>
        <w:t>12.</w:t>
      </w:r>
      <w:r w:rsidR="00CC69AA" w:rsidRPr="006D344B">
        <w:rPr>
          <w:sz w:val="22"/>
          <w:szCs w:val="22"/>
          <w:lang w:val="en"/>
        </w:rPr>
        <w:t>1</w:t>
      </w:r>
      <w:r w:rsidRPr="006D344B">
        <w:rPr>
          <w:sz w:val="22"/>
          <w:szCs w:val="22"/>
          <w:lang w:val="en"/>
        </w:rPr>
        <w:t xml:space="preserve"> points in 2022</w:t>
      </w:r>
      <w:r w:rsidRPr="00F04C46">
        <w:rPr>
          <w:sz w:val="22"/>
          <w:szCs w:val="22"/>
          <w:lang w:val="en"/>
        </w:rPr>
        <w:t xml:space="preserve"> </w:t>
      </w:r>
      <w:r w:rsidR="00754CF9" w:rsidRPr="00F04C46">
        <w:rPr>
          <w:sz w:val="22"/>
          <w:szCs w:val="22"/>
          <w:lang w:val="en"/>
        </w:rPr>
        <w:t>H</w:t>
      </w:r>
      <w:r w:rsidRPr="00F04C46">
        <w:rPr>
          <w:sz w:val="22"/>
          <w:szCs w:val="22"/>
          <w:lang w:val="en"/>
        </w:rPr>
        <w:t>2 after +</w:t>
      </w:r>
      <w:r w:rsidR="00754CF9" w:rsidRPr="00F04C46">
        <w:rPr>
          <w:sz w:val="22"/>
          <w:szCs w:val="22"/>
          <w:lang w:val="en"/>
        </w:rPr>
        <w:t>7.4</w:t>
      </w:r>
      <w:r w:rsidRPr="00F04C46">
        <w:rPr>
          <w:sz w:val="22"/>
          <w:szCs w:val="22"/>
          <w:lang w:val="en"/>
        </w:rPr>
        <w:t xml:space="preserve"> points in </w:t>
      </w:r>
      <w:r w:rsidR="00754CF9" w:rsidRPr="00F04C46">
        <w:rPr>
          <w:sz w:val="22"/>
          <w:szCs w:val="22"/>
          <w:lang w:val="en"/>
        </w:rPr>
        <w:t>H</w:t>
      </w:r>
      <w:r w:rsidRPr="00F04C46">
        <w:rPr>
          <w:sz w:val="22"/>
          <w:szCs w:val="22"/>
          <w:lang w:val="en"/>
        </w:rPr>
        <w:t>1.</w:t>
      </w:r>
    </w:p>
    <w:p w14:paraId="33830249" w14:textId="2091174A" w:rsidR="004A7B97" w:rsidRPr="00F04C46" w:rsidRDefault="004A7B97" w:rsidP="004A7B97">
      <w:pPr>
        <w:spacing w:line="240" w:lineRule="auto"/>
        <w:jc w:val="both"/>
        <w:rPr>
          <w:rFonts w:ascii="Renault Group" w:eastAsia="Renault Group" w:hAnsi="Renault Group" w:cs="Times New Roman"/>
          <w:sz w:val="22"/>
          <w:szCs w:val="22"/>
          <w:lang w:val="en-US"/>
        </w:rPr>
      </w:pPr>
      <w:r w:rsidRPr="00F04C46">
        <w:rPr>
          <w:sz w:val="22"/>
          <w:szCs w:val="22"/>
          <w:lang w:val="en"/>
        </w:rPr>
        <w:t xml:space="preserve">The success of </w:t>
      </w:r>
      <w:r w:rsidR="0087130A">
        <w:rPr>
          <w:sz w:val="22"/>
          <w:szCs w:val="22"/>
          <w:lang w:val="en"/>
        </w:rPr>
        <w:t xml:space="preserve">Renault </w:t>
      </w:r>
      <w:r w:rsidR="00DD3A21" w:rsidRPr="00F04C46">
        <w:rPr>
          <w:sz w:val="22"/>
          <w:szCs w:val="22"/>
          <w:lang w:val="en"/>
        </w:rPr>
        <w:t>Megane E-TECH Electric</w:t>
      </w:r>
      <w:r w:rsidR="005E4E8B">
        <w:rPr>
          <w:sz w:val="22"/>
          <w:szCs w:val="22"/>
          <w:lang w:val="en"/>
        </w:rPr>
        <w:t xml:space="preserve"> launched </w:t>
      </w:r>
      <w:r w:rsidR="00562F43">
        <w:rPr>
          <w:sz w:val="22"/>
          <w:szCs w:val="22"/>
          <w:lang w:val="en"/>
        </w:rPr>
        <w:t xml:space="preserve">at the end of </w:t>
      </w:r>
      <w:r w:rsidR="002F2C38">
        <w:rPr>
          <w:sz w:val="22"/>
          <w:szCs w:val="22"/>
          <w:lang w:val="en"/>
        </w:rPr>
        <w:t>2022</w:t>
      </w:r>
      <w:r w:rsidR="006D344B">
        <w:rPr>
          <w:sz w:val="22"/>
          <w:szCs w:val="22"/>
          <w:lang w:val="en"/>
        </w:rPr>
        <w:t xml:space="preserve"> </w:t>
      </w:r>
      <w:r w:rsidR="00C43D5B">
        <w:rPr>
          <w:sz w:val="22"/>
          <w:szCs w:val="22"/>
          <w:lang w:val="en"/>
        </w:rPr>
        <w:t>Q2</w:t>
      </w:r>
      <w:r w:rsidR="00E40CC8">
        <w:rPr>
          <w:sz w:val="22"/>
          <w:szCs w:val="22"/>
          <w:lang w:val="en"/>
        </w:rPr>
        <w:t xml:space="preserve">, </w:t>
      </w:r>
      <w:r w:rsidR="0087130A">
        <w:rPr>
          <w:sz w:val="22"/>
          <w:szCs w:val="22"/>
          <w:lang w:val="en"/>
        </w:rPr>
        <w:t xml:space="preserve">Renault </w:t>
      </w:r>
      <w:r w:rsidRPr="00F04C46">
        <w:rPr>
          <w:sz w:val="22"/>
          <w:szCs w:val="22"/>
          <w:lang w:val="en"/>
        </w:rPr>
        <w:t xml:space="preserve">Arkana launched in 2021 Q2, as well as </w:t>
      </w:r>
      <w:r w:rsidR="00DB0346">
        <w:rPr>
          <w:sz w:val="22"/>
          <w:szCs w:val="22"/>
          <w:lang w:val="en"/>
        </w:rPr>
        <w:t xml:space="preserve">Dacia </w:t>
      </w:r>
      <w:r w:rsidRPr="00F04C46">
        <w:rPr>
          <w:sz w:val="22"/>
          <w:szCs w:val="22"/>
          <w:lang w:val="en"/>
        </w:rPr>
        <w:t>Jogger</w:t>
      </w:r>
      <w:r w:rsidR="000E7283">
        <w:rPr>
          <w:sz w:val="22"/>
          <w:szCs w:val="22"/>
          <w:lang w:val="en"/>
        </w:rPr>
        <w:t xml:space="preserve"> </w:t>
      </w:r>
      <w:r w:rsidR="000E7283" w:rsidRPr="006D344B">
        <w:rPr>
          <w:sz w:val="22"/>
          <w:szCs w:val="22"/>
          <w:lang w:val="en"/>
        </w:rPr>
        <w:t xml:space="preserve">launched in </w:t>
      </w:r>
      <w:r w:rsidR="006D344B" w:rsidRPr="006D344B">
        <w:rPr>
          <w:sz w:val="22"/>
          <w:szCs w:val="22"/>
          <w:lang w:val="en"/>
        </w:rPr>
        <w:t>2022 Q</w:t>
      </w:r>
      <w:r w:rsidR="006D344B">
        <w:rPr>
          <w:sz w:val="22"/>
          <w:szCs w:val="22"/>
          <w:lang w:val="en"/>
        </w:rPr>
        <w:t>1</w:t>
      </w:r>
      <w:r w:rsidRPr="00F04C46">
        <w:rPr>
          <w:sz w:val="22"/>
          <w:szCs w:val="22"/>
          <w:lang w:val="en"/>
        </w:rPr>
        <w:t xml:space="preserve">, </w:t>
      </w:r>
      <w:r w:rsidR="00397119">
        <w:rPr>
          <w:sz w:val="22"/>
          <w:szCs w:val="22"/>
          <w:lang w:val="en"/>
        </w:rPr>
        <w:t>evidenced</w:t>
      </w:r>
      <w:r w:rsidR="00397119" w:rsidRPr="00F04C46">
        <w:rPr>
          <w:sz w:val="22"/>
          <w:szCs w:val="22"/>
          <w:lang w:val="en"/>
        </w:rPr>
        <w:t xml:space="preserve"> </w:t>
      </w:r>
      <w:r w:rsidRPr="00F04C46">
        <w:rPr>
          <w:sz w:val="22"/>
          <w:szCs w:val="22"/>
          <w:lang w:val="en"/>
        </w:rPr>
        <w:t xml:space="preserve">the renewal </w:t>
      </w:r>
      <w:r w:rsidR="004523AB">
        <w:rPr>
          <w:sz w:val="22"/>
          <w:szCs w:val="22"/>
          <w:lang w:val="en"/>
        </w:rPr>
        <w:t xml:space="preserve">and the offensive </w:t>
      </w:r>
      <w:r w:rsidRPr="00F04C46">
        <w:rPr>
          <w:sz w:val="22"/>
          <w:szCs w:val="22"/>
          <w:lang w:val="en"/>
        </w:rPr>
        <w:t xml:space="preserve">of Renault </w:t>
      </w:r>
      <w:r w:rsidR="00431EB6">
        <w:rPr>
          <w:sz w:val="22"/>
          <w:szCs w:val="22"/>
          <w:lang w:val="en"/>
        </w:rPr>
        <w:t xml:space="preserve">and Dacia </w:t>
      </w:r>
      <w:r w:rsidR="00C264CF">
        <w:rPr>
          <w:sz w:val="22"/>
          <w:szCs w:val="22"/>
          <w:lang w:val="en"/>
        </w:rPr>
        <w:t>brands</w:t>
      </w:r>
      <w:r w:rsidR="00431EB6">
        <w:rPr>
          <w:sz w:val="22"/>
          <w:szCs w:val="22"/>
          <w:lang w:val="en"/>
        </w:rPr>
        <w:t xml:space="preserve"> </w:t>
      </w:r>
      <w:r w:rsidRPr="00F04C46">
        <w:rPr>
          <w:sz w:val="22"/>
          <w:szCs w:val="22"/>
          <w:lang w:val="en"/>
        </w:rPr>
        <w:t>in the C</w:t>
      </w:r>
      <w:r w:rsidR="009B58F8">
        <w:rPr>
          <w:sz w:val="22"/>
          <w:szCs w:val="22"/>
          <w:lang w:val="en"/>
        </w:rPr>
        <w:t>-</w:t>
      </w:r>
      <w:r w:rsidRPr="00F04C46">
        <w:rPr>
          <w:sz w:val="22"/>
          <w:szCs w:val="22"/>
          <w:lang w:val="en"/>
        </w:rPr>
        <w:t>segmen</w:t>
      </w:r>
      <w:r w:rsidR="009B58F8">
        <w:rPr>
          <w:sz w:val="22"/>
          <w:szCs w:val="22"/>
          <w:lang w:val="en"/>
        </w:rPr>
        <w:t>t. It</w:t>
      </w:r>
      <w:r w:rsidRPr="00F04C46">
        <w:rPr>
          <w:sz w:val="22"/>
          <w:szCs w:val="22"/>
          <w:lang w:val="en"/>
        </w:rPr>
        <w:t xml:space="preserve"> </w:t>
      </w:r>
      <w:r w:rsidR="00B726BF">
        <w:rPr>
          <w:sz w:val="22"/>
          <w:szCs w:val="22"/>
          <w:lang w:val="en"/>
        </w:rPr>
        <w:t xml:space="preserve">generated </w:t>
      </w:r>
      <w:r w:rsidR="00ED68A6">
        <w:rPr>
          <w:sz w:val="22"/>
          <w:szCs w:val="22"/>
          <w:lang w:val="en"/>
        </w:rPr>
        <w:t xml:space="preserve">in 2022 </w:t>
      </w:r>
      <w:r w:rsidRPr="00F04C46">
        <w:rPr>
          <w:sz w:val="22"/>
          <w:szCs w:val="22"/>
          <w:lang w:val="en"/>
        </w:rPr>
        <w:t>a</w:t>
      </w:r>
      <w:r w:rsidR="009B58F8">
        <w:rPr>
          <w:sz w:val="22"/>
          <w:szCs w:val="22"/>
          <w:lang w:val="en"/>
        </w:rPr>
        <w:t xml:space="preserve"> </w:t>
      </w:r>
      <w:r w:rsidR="009B58F8" w:rsidRPr="00F04C46">
        <w:rPr>
          <w:sz w:val="22"/>
          <w:szCs w:val="22"/>
          <w:lang w:val="en"/>
        </w:rPr>
        <w:t>+2.</w:t>
      </w:r>
      <w:r w:rsidR="00CC69AA">
        <w:rPr>
          <w:sz w:val="22"/>
          <w:szCs w:val="22"/>
          <w:lang w:val="en"/>
        </w:rPr>
        <w:t>8</w:t>
      </w:r>
      <w:r w:rsidR="009B58F8" w:rsidRPr="00F04C46">
        <w:rPr>
          <w:sz w:val="22"/>
          <w:szCs w:val="22"/>
          <w:lang w:val="en"/>
        </w:rPr>
        <w:t xml:space="preserve"> points</w:t>
      </w:r>
      <w:r w:rsidRPr="00F04C46">
        <w:rPr>
          <w:sz w:val="22"/>
          <w:szCs w:val="22"/>
          <w:lang w:val="en"/>
        </w:rPr>
        <w:t xml:space="preserve"> positive product mix effect.  </w:t>
      </w:r>
    </w:p>
    <w:p w14:paraId="24452142" w14:textId="4E7C2E78" w:rsidR="004A7B97" w:rsidRPr="00F04C46" w:rsidRDefault="004A7B97" w:rsidP="004A7B97">
      <w:pPr>
        <w:spacing w:line="240" w:lineRule="auto"/>
        <w:jc w:val="both"/>
        <w:rPr>
          <w:rFonts w:cs="Arial"/>
          <w:sz w:val="22"/>
          <w:szCs w:val="22"/>
          <w:lang w:val="en-US"/>
        </w:rPr>
      </w:pPr>
      <w:r w:rsidRPr="00F04C46">
        <w:rPr>
          <w:sz w:val="22"/>
          <w:szCs w:val="22"/>
          <w:lang w:val="en"/>
        </w:rPr>
        <w:t>The impact of sales to partners, negative by -1.</w:t>
      </w:r>
      <w:r w:rsidR="00F04C46" w:rsidRPr="00F04C46">
        <w:rPr>
          <w:sz w:val="22"/>
          <w:szCs w:val="22"/>
          <w:lang w:val="en"/>
        </w:rPr>
        <w:t>4</w:t>
      </w:r>
      <w:r w:rsidRPr="00F04C46">
        <w:rPr>
          <w:sz w:val="22"/>
          <w:szCs w:val="22"/>
          <w:lang w:val="en"/>
        </w:rPr>
        <w:t xml:space="preserve"> points, </w:t>
      </w:r>
      <w:r w:rsidR="00BC12A2">
        <w:rPr>
          <w:sz w:val="22"/>
          <w:szCs w:val="22"/>
          <w:lang w:val="en"/>
        </w:rPr>
        <w:t>was</w:t>
      </w:r>
      <w:r w:rsidRPr="00F04C46">
        <w:rPr>
          <w:sz w:val="22"/>
          <w:szCs w:val="22"/>
          <w:lang w:val="en"/>
        </w:rPr>
        <w:t xml:space="preserve"> mainly due to the decrease in production of diesel engines and vehicles for </w:t>
      </w:r>
      <w:r w:rsidR="000A77FC">
        <w:rPr>
          <w:sz w:val="22"/>
          <w:szCs w:val="22"/>
          <w:lang w:val="en"/>
        </w:rPr>
        <w:t>Renault Group’s</w:t>
      </w:r>
      <w:r w:rsidRPr="00F04C46">
        <w:rPr>
          <w:sz w:val="22"/>
          <w:szCs w:val="22"/>
          <w:lang w:val="en"/>
        </w:rPr>
        <w:t xml:space="preserve"> partners (end of contracts of Master for Opel and Traffic for Fiat at the end of 2021).</w:t>
      </w:r>
    </w:p>
    <w:p w14:paraId="0B19A76A" w14:textId="440CD7E7" w:rsidR="004A7B97" w:rsidRPr="00BC387E" w:rsidRDefault="004A7B97" w:rsidP="00BC387E">
      <w:pPr>
        <w:spacing w:after="360" w:line="240" w:lineRule="auto"/>
        <w:jc w:val="both"/>
        <w:rPr>
          <w:sz w:val="22"/>
          <w:szCs w:val="22"/>
          <w:lang w:val="en"/>
        </w:rPr>
      </w:pPr>
      <w:r w:rsidRPr="00F04C46">
        <w:rPr>
          <w:sz w:val="22"/>
          <w:szCs w:val="22"/>
          <w:lang w:val="en"/>
        </w:rPr>
        <w:t>The</w:t>
      </w:r>
      <w:r w:rsidRPr="00F04C46">
        <w:rPr>
          <w:lang w:val="en"/>
        </w:rPr>
        <w:t xml:space="preserve"> </w:t>
      </w:r>
      <w:r w:rsidR="00043121">
        <w:rPr>
          <w:sz w:val="22"/>
          <w:szCs w:val="22"/>
          <w:lang w:val="en"/>
        </w:rPr>
        <w:t>“</w:t>
      </w:r>
      <w:r w:rsidRPr="00F04C46">
        <w:rPr>
          <w:sz w:val="22"/>
          <w:szCs w:val="22"/>
          <w:lang w:val="en"/>
        </w:rPr>
        <w:t>Other</w:t>
      </w:r>
      <w:r w:rsidR="00C203E9">
        <w:rPr>
          <w:sz w:val="22"/>
          <w:szCs w:val="22"/>
          <w:lang w:val="en"/>
        </w:rPr>
        <w:t>s</w:t>
      </w:r>
      <w:r w:rsidR="00043121">
        <w:rPr>
          <w:sz w:val="22"/>
          <w:szCs w:val="22"/>
          <w:lang w:val="en"/>
        </w:rPr>
        <w:t>”</w:t>
      </w:r>
      <w:r w:rsidRPr="00F04C46">
        <w:rPr>
          <w:sz w:val="22"/>
          <w:szCs w:val="22"/>
          <w:lang w:val="en"/>
        </w:rPr>
        <w:t xml:space="preserve"> effect, of -</w:t>
      </w:r>
      <w:r w:rsidR="00F04C46" w:rsidRPr="00F04C46">
        <w:rPr>
          <w:sz w:val="22"/>
          <w:szCs w:val="22"/>
          <w:lang w:val="en"/>
        </w:rPr>
        <w:t>1.</w:t>
      </w:r>
      <w:r w:rsidR="00CC69AA">
        <w:rPr>
          <w:sz w:val="22"/>
          <w:szCs w:val="22"/>
          <w:lang w:val="en"/>
        </w:rPr>
        <w:t>8</w:t>
      </w:r>
      <w:r w:rsidRPr="00F04C46">
        <w:rPr>
          <w:sz w:val="22"/>
          <w:szCs w:val="22"/>
          <w:lang w:val="en"/>
        </w:rPr>
        <w:t xml:space="preserve"> points, </w:t>
      </w:r>
      <w:r w:rsidR="004B0C76">
        <w:rPr>
          <w:sz w:val="22"/>
          <w:szCs w:val="22"/>
          <w:lang w:val="en"/>
        </w:rPr>
        <w:t>was</w:t>
      </w:r>
      <w:r w:rsidRPr="00F04C46">
        <w:rPr>
          <w:sz w:val="22"/>
          <w:szCs w:val="22"/>
          <w:lang w:val="en"/>
        </w:rPr>
        <w:t xml:space="preserve"> due to </w:t>
      </w:r>
      <w:r w:rsidRPr="00AF114D">
        <w:rPr>
          <w:sz w:val="22"/>
          <w:szCs w:val="22"/>
          <w:lang w:val="en"/>
        </w:rPr>
        <w:t xml:space="preserve">a decrease in the contribution of sales from the Renault Retail Group (RRG) network following the disposals of branches </w:t>
      </w:r>
      <w:r w:rsidR="00755663" w:rsidRPr="00AF114D">
        <w:rPr>
          <w:sz w:val="22"/>
          <w:szCs w:val="22"/>
          <w:lang w:val="en"/>
        </w:rPr>
        <w:t xml:space="preserve">and </w:t>
      </w:r>
      <w:r w:rsidR="003014C7" w:rsidRPr="00AF114D">
        <w:rPr>
          <w:sz w:val="22"/>
          <w:szCs w:val="22"/>
          <w:lang w:val="en"/>
        </w:rPr>
        <w:t xml:space="preserve">lower </w:t>
      </w:r>
      <w:r w:rsidR="00397D2C" w:rsidRPr="00AF114D">
        <w:rPr>
          <w:sz w:val="22"/>
          <w:szCs w:val="22"/>
          <w:lang w:val="en"/>
        </w:rPr>
        <w:t>sales</w:t>
      </w:r>
      <w:r w:rsidR="00AF114D">
        <w:rPr>
          <w:sz w:val="22"/>
          <w:szCs w:val="22"/>
          <w:lang w:val="en"/>
        </w:rPr>
        <w:t xml:space="preserve"> of</w:t>
      </w:r>
      <w:r w:rsidR="00397D2C" w:rsidRPr="00AF114D">
        <w:rPr>
          <w:sz w:val="22"/>
          <w:szCs w:val="22"/>
          <w:lang w:val="en"/>
        </w:rPr>
        <w:t xml:space="preserve"> </w:t>
      </w:r>
      <w:r w:rsidR="00AF114D" w:rsidRPr="00AF114D">
        <w:rPr>
          <w:sz w:val="22"/>
          <w:szCs w:val="22"/>
          <w:lang w:val="en"/>
        </w:rPr>
        <w:t>used cars</w:t>
      </w:r>
      <w:r w:rsidR="008D3DF4">
        <w:rPr>
          <w:sz w:val="22"/>
          <w:szCs w:val="22"/>
          <w:lang w:val="en"/>
        </w:rPr>
        <w:t xml:space="preserve">, </w:t>
      </w:r>
      <w:r w:rsidRPr="00AF114D">
        <w:rPr>
          <w:sz w:val="22"/>
          <w:szCs w:val="22"/>
          <w:lang w:val="en"/>
        </w:rPr>
        <w:t xml:space="preserve">partially offset by </w:t>
      </w:r>
      <w:r w:rsidR="004E7241" w:rsidRPr="003D422B">
        <w:rPr>
          <w:sz w:val="22"/>
          <w:szCs w:val="22"/>
          <w:lang w:val="en"/>
        </w:rPr>
        <w:t xml:space="preserve">strong performance in </w:t>
      </w:r>
      <w:r w:rsidRPr="00AF114D">
        <w:rPr>
          <w:sz w:val="22"/>
          <w:szCs w:val="22"/>
          <w:lang w:val="en"/>
        </w:rPr>
        <w:t>the aftersales</w:t>
      </w:r>
      <w:r w:rsidR="004E7241">
        <w:rPr>
          <w:sz w:val="22"/>
          <w:szCs w:val="22"/>
          <w:lang w:val="en"/>
        </w:rPr>
        <w:t xml:space="preserve"> activity</w:t>
      </w:r>
      <w:r w:rsidRPr="00AF114D">
        <w:rPr>
          <w:sz w:val="22"/>
          <w:szCs w:val="22"/>
          <w:lang w:val="en"/>
        </w:rPr>
        <w:t>.</w:t>
      </w:r>
    </w:p>
    <w:p w14:paraId="3108F42A" w14:textId="6A83EF0A" w:rsidR="00397F7D" w:rsidRPr="00B157D7" w:rsidRDefault="00397F7D" w:rsidP="00C203E9">
      <w:pPr>
        <w:spacing w:after="360" w:line="240" w:lineRule="auto"/>
        <w:jc w:val="both"/>
        <w:rPr>
          <w:rFonts w:ascii="Renault Group" w:eastAsia="Renault Group" w:hAnsi="Renault Group" w:cs="Times New Roman"/>
          <w:sz w:val="22"/>
          <w:szCs w:val="22"/>
          <w:lang w:val="en-US"/>
        </w:rPr>
      </w:pPr>
      <w:r w:rsidRPr="004D42C5">
        <w:rPr>
          <w:sz w:val="22"/>
          <w:szCs w:val="22"/>
          <w:lang w:val="en"/>
        </w:rPr>
        <w:t xml:space="preserve">The </w:t>
      </w:r>
      <w:r w:rsidRPr="00111488">
        <w:rPr>
          <w:b/>
          <w:bCs/>
          <w:sz w:val="22"/>
          <w:szCs w:val="22"/>
          <w:lang w:val="en"/>
        </w:rPr>
        <w:t>Group</w:t>
      </w:r>
      <w:r w:rsidRPr="008F0C86">
        <w:rPr>
          <w:sz w:val="22"/>
          <w:szCs w:val="22"/>
          <w:lang w:val="en"/>
        </w:rPr>
        <w:t xml:space="preserve"> recorded a positive</w:t>
      </w:r>
      <w:r>
        <w:rPr>
          <w:lang w:val="en"/>
        </w:rPr>
        <w:t xml:space="preserve"> </w:t>
      </w:r>
      <w:r w:rsidRPr="004D42C5">
        <w:rPr>
          <w:b/>
          <w:sz w:val="22"/>
          <w:szCs w:val="22"/>
          <w:lang w:val="en"/>
        </w:rPr>
        <w:t xml:space="preserve">operating margin </w:t>
      </w:r>
      <w:r w:rsidRPr="004D42C5">
        <w:rPr>
          <w:sz w:val="22"/>
          <w:szCs w:val="22"/>
          <w:lang w:val="en"/>
        </w:rPr>
        <w:t>of €</w:t>
      </w:r>
      <w:r w:rsidR="00B32FF3">
        <w:rPr>
          <w:sz w:val="22"/>
          <w:szCs w:val="22"/>
          <w:lang w:val="en"/>
        </w:rPr>
        <w:t>2,595</w:t>
      </w:r>
      <w:r>
        <w:rPr>
          <w:lang w:val="en"/>
        </w:rPr>
        <w:t xml:space="preserve"> </w:t>
      </w:r>
      <w:r w:rsidRPr="007A4032">
        <w:rPr>
          <w:sz w:val="22"/>
          <w:szCs w:val="22"/>
          <w:lang w:val="en"/>
        </w:rPr>
        <w:t>million (</w:t>
      </w:r>
      <w:r w:rsidR="00B32FF3">
        <w:rPr>
          <w:sz w:val="22"/>
          <w:szCs w:val="22"/>
          <w:lang w:val="en"/>
        </w:rPr>
        <w:t>5.6</w:t>
      </w:r>
      <w:r w:rsidRPr="007A4032">
        <w:rPr>
          <w:sz w:val="22"/>
          <w:szCs w:val="22"/>
          <w:lang w:val="en"/>
        </w:rPr>
        <w:t>%</w:t>
      </w:r>
      <w:r w:rsidRPr="004D42C5">
        <w:rPr>
          <w:sz w:val="22"/>
          <w:szCs w:val="22"/>
          <w:lang w:val="en"/>
        </w:rPr>
        <w:t xml:space="preserve"> of revenue) </w:t>
      </w:r>
      <w:r>
        <w:rPr>
          <w:sz w:val="22"/>
          <w:szCs w:val="22"/>
          <w:lang w:val="en"/>
        </w:rPr>
        <w:t>versus</w:t>
      </w:r>
      <w:r>
        <w:rPr>
          <w:lang w:val="en"/>
        </w:rPr>
        <w:t xml:space="preserve"> </w:t>
      </w:r>
      <w:r w:rsidR="00FB0091">
        <w:rPr>
          <w:lang w:val="en"/>
        </w:rPr>
        <w:br/>
      </w:r>
      <w:r w:rsidRPr="008F0C86">
        <w:rPr>
          <w:sz w:val="22"/>
          <w:szCs w:val="24"/>
          <w:lang w:val="en"/>
        </w:rPr>
        <w:t>€</w:t>
      </w:r>
      <w:r w:rsidR="00833AAD">
        <w:rPr>
          <w:sz w:val="22"/>
          <w:szCs w:val="22"/>
          <w:lang w:val="en"/>
        </w:rPr>
        <w:t>1,15</w:t>
      </w:r>
      <w:r w:rsidR="00BC22DF">
        <w:rPr>
          <w:sz w:val="22"/>
          <w:szCs w:val="22"/>
          <w:lang w:val="en"/>
        </w:rPr>
        <w:t>3</w:t>
      </w:r>
      <w:r w:rsidRPr="004D42C5">
        <w:rPr>
          <w:sz w:val="22"/>
          <w:szCs w:val="22"/>
          <w:lang w:val="en"/>
        </w:rPr>
        <w:t xml:space="preserve"> million</w:t>
      </w:r>
      <w:r w:rsidR="00A213FD">
        <w:rPr>
          <w:sz w:val="22"/>
          <w:szCs w:val="22"/>
          <w:lang w:val="en"/>
        </w:rPr>
        <w:t xml:space="preserve"> </w:t>
      </w:r>
      <w:r w:rsidR="00A213FD" w:rsidRPr="007A4032">
        <w:rPr>
          <w:sz w:val="22"/>
          <w:szCs w:val="22"/>
          <w:lang w:val="en"/>
        </w:rPr>
        <w:t>(</w:t>
      </w:r>
      <w:r w:rsidR="00A213FD">
        <w:rPr>
          <w:sz w:val="22"/>
          <w:szCs w:val="22"/>
          <w:lang w:val="en"/>
        </w:rPr>
        <w:t>2.8</w:t>
      </w:r>
      <w:r w:rsidR="00A213FD" w:rsidRPr="007A4032">
        <w:rPr>
          <w:sz w:val="22"/>
          <w:szCs w:val="22"/>
          <w:lang w:val="en"/>
        </w:rPr>
        <w:t>%</w:t>
      </w:r>
      <w:r w:rsidR="00A213FD" w:rsidRPr="004D42C5">
        <w:rPr>
          <w:sz w:val="22"/>
          <w:szCs w:val="22"/>
          <w:lang w:val="en"/>
        </w:rPr>
        <w:t xml:space="preserve"> of revenue)</w:t>
      </w:r>
      <w:r w:rsidRPr="004D42C5">
        <w:rPr>
          <w:sz w:val="22"/>
          <w:szCs w:val="22"/>
          <w:lang w:val="en"/>
        </w:rPr>
        <w:t xml:space="preserve"> </w:t>
      </w:r>
      <w:r>
        <w:rPr>
          <w:sz w:val="22"/>
          <w:szCs w:val="22"/>
          <w:lang w:val="en"/>
        </w:rPr>
        <w:t xml:space="preserve">in </w:t>
      </w:r>
      <w:r w:rsidRPr="004D42C5">
        <w:rPr>
          <w:sz w:val="22"/>
          <w:szCs w:val="22"/>
          <w:lang w:val="en"/>
        </w:rPr>
        <w:t>202</w:t>
      </w:r>
      <w:r>
        <w:rPr>
          <w:sz w:val="22"/>
          <w:szCs w:val="22"/>
          <w:lang w:val="en"/>
        </w:rPr>
        <w:t>1 (+</w:t>
      </w:r>
      <w:r w:rsidR="0037369A">
        <w:rPr>
          <w:sz w:val="22"/>
          <w:szCs w:val="22"/>
          <w:lang w:val="en"/>
        </w:rPr>
        <w:t>€</w:t>
      </w:r>
      <w:r w:rsidR="00D31814">
        <w:rPr>
          <w:sz w:val="22"/>
          <w:szCs w:val="22"/>
          <w:lang w:val="en"/>
        </w:rPr>
        <w:t xml:space="preserve">1,442 </w:t>
      </w:r>
      <w:r w:rsidR="0037369A">
        <w:rPr>
          <w:sz w:val="22"/>
          <w:szCs w:val="22"/>
          <w:lang w:val="en"/>
        </w:rPr>
        <w:t>million and +2.8 points</w:t>
      </w:r>
      <w:r>
        <w:rPr>
          <w:sz w:val="22"/>
          <w:szCs w:val="22"/>
          <w:lang w:val="en"/>
        </w:rPr>
        <w:t>).</w:t>
      </w:r>
      <w:r w:rsidR="00926346">
        <w:rPr>
          <w:sz w:val="22"/>
          <w:szCs w:val="22"/>
          <w:lang w:val="en"/>
        </w:rPr>
        <w:t xml:space="preserve"> It </w:t>
      </w:r>
      <w:r w:rsidR="00842944">
        <w:rPr>
          <w:sz w:val="22"/>
          <w:szCs w:val="22"/>
          <w:lang w:val="en"/>
        </w:rPr>
        <w:t>improved sequentially</w:t>
      </w:r>
      <w:r w:rsidR="00926346">
        <w:rPr>
          <w:sz w:val="22"/>
          <w:szCs w:val="22"/>
          <w:lang w:val="en"/>
        </w:rPr>
        <w:t xml:space="preserve"> to </w:t>
      </w:r>
      <w:r w:rsidR="00842944">
        <w:rPr>
          <w:sz w:val="22"/>
          <w:szCs w:val="22"/>
          <w:lang w:val="en"/>
        </w:rPr>
        <w:t>6.</w:t>
      </w:r>
      <w:r w:rsidR="00E54DE1">
        <w:rPr>
          <w:sz w:val="22"/>
          <w:szCs w:val="22"/>
          <w:lang w:val="en"/>
        </w:rPr>
        <w:t>4</w:t>
      </w:r>
      <w:r w:rsidR="00842944">
        <w:rPr>
          <w:sz w:val="22"/>
          <w:szCs w:val="22"/>
          <w:lang w:val="en"/>
        </w:rPr>
        <w:t>% in 2022 H2 versus 4.7% in 2022 H1.</w:t>
      </w:r>
    </w:p>
    <w:p w14:paraId="3F8BBE62" w14:textId="68EAE6EA" w:rsidR="00397F7D" w:rsidRPr="00B157D7" w:rsidRDefault="00397F7D" w:rsidP="00397F7D">
      <w:pPr>
        <w:spacing w:line="240" w:lineRule="auto"/>
        <w:jc w:val="both"/>
        <w:rPr>
          <w:rFonts w:ascii="Renault Group" w:eastAsia="Renault Group" w:hAnsi="Renault Group" w:cs="Times New Roman"/>
          <w:color w:val="2E2ECA"/>
          <w:sz w:val="22"/>
          <w:szCs w:val="22"/>
          <w:lang w:val="en-US"/>
        </w:rPr>
      </w:pPr>
      <w:r w:rsidRPr="00111488">
        <w:rPr>
          <w:b/>
          <w:bCs/>
          <w:sz w:val="22"/>
          <w:szCs w:val="22"/>
          <w:lang w:val="en"/>
        </w:rPr>
        <w:t>Automotive o</w:t>
      </w:r>
      <w:r w:rsidRPr="004D42C5">
        <w:rPr>
          <w:b/>
          <w:sz w:val="22"/>
          <w:szCs w:val="22"/>
          <w:lang w:val="en"/>
        </w:rPr>
        <w:t>perating margin</w:t>
      </w:r>
      <w:r w:rsidR="00EE1512">
        <w:rPr>
          <w:b/>
          <w:sz w:val="22"/>
          <w:szCs w:val="22"/>
          <w:lang w:val="en"/>
        </w:rPr>
        <w:t xml:space="preserve"> </w:t>
      </w:r>
      <w:r w:rsidR="00EE1512" w:rsidRPr="006F6F3B">
        <w:rPr>
          <w:bCs/>
          <w:sz w:val="22"/>
          <w:szCs w:val="22"/>
          <w:lang w:val="en"/>
        </w:rPr>
        <w:t>stood at</w:t>
      </w:r>
      <w:r w:rsidR="00EE1512">
        <w:rPr>
          <w:b/>
          <w:sz w:val="22"/>
          <w:szCs w:val="22"/>
          <w:lang w:val="en"/>
        </w:rPr>
        <w:t xml:space="preserve"> </w:t>
      </w:r>
      <w:r w:rsidRPr="00C55399">
        <w:rPr>
          <w:sz w:val="22"/>
          <w:szCs w:val="22"/>
          <w:lang w:val="en"/>
        </w:rPr>
        <w:t>€</w:t>
      </w:r>
      <w:r w:rsidR="0078749B">
        <w:rPr>
          <w:sz w:val="22"/>
          <w:szCs w:val="22"/>
          <w:lang w:val="en"/>
        </w:rPr>
        <w:t>1,40</w:t>
      </w:r>
      <w:r w:rsidR="00A772C2">
        <w:rPr>
          <w:sz w:val="22"/>
          <w:szCs w:val="22"/>
          <w:lang w:val="en"/>
        </w:rPr>
        <w:t>2</w:t>
      </w:r>
      <w:r w:rsidRPr="004D42C5">
        <w:rPr>
          <w:sz w:val="22"/>
          <w:szCs w:val="22"/>
          <w:lang w:val="en"/>
        </w:rPr>
        <w:t xml:space="preserve"> million (</w:t>
      </w:r>
      <w:r w:rsidR="000B1BA6">
        <w:rPr>
          <w:sz w:val="22"/>
          <w:szCs w:val="22"/>
          <w:lang w:val="en"/>
        </w:rPr>
        <w:t>3.3</w:t>
      </w:r>
      <w:r w:rsidRPr="004D42C5">
        <w:rPr>
          <w:sz w:val="22"/>
          <w:szCs w:val="22"/>
          <w:lang w:val="en"/>
        </w:rPr>
        <w:t xml:space="preserve">% of </w:t>
      </w:r>
      <w:r>
        <w:rPr>
          <w:sz w:val="22"/>
          <w:szCs w:val="22"/>
          <w:lang w:val="en"/>
        </w:rPr>
        <w:t xml:space="preserve">Automotive </w:t>
      </w:r>
      <w:r w:rsidRPr="004D42C5">
        <w:rPr>
          <w:sz w:val="22"/>
          <w:szCs w:val="22"/>
          <w:lang w:val="en"/>
        </w:rPr>
        <w:t>revenue</w:t>
      </w:r>
      <w:r w:rsidR="00292CAB">
        <w:rPr>
          <w:sz w:val="22"/>
          <w:szCs w:val="22"/>
          <w:lang w:val="en"/>
        </w:rPr>
        <w:t xml:space="preserve">) versus </w:t>
      </w:r>
      <w:r w:rsidR="001D4328">
        <w:rPr>
          <w:sz w:val="22"/>
          <w:szCs w:val="22"/>
          <w:lang w:val="en"/>
        </w:rPr>
        <w:t>-€</w:t>
      </w:r>
      <w:r w:rsidR="006F6F3B">
        <w:rPr>
          <w:sz w:val="22"/>
          <w:szCs w:val="22"/>
          <w:lang w:val="en"/>
        </w:rPr>
        <w:t xml:space="preserve">3 </w:t>
      </w:r>
      <w:r w:rsidR="001D4328">
        <w:rPr>
          <w:sz w:val="22"/>
          <w:szCs w:val="22"/>
          <w:lang w:val="en"/>
        </w:rPr>
        <w:t>millio</w:t>
      </w:r>
      <w:r w:rsidR="006F6F3B">
        <w:rPr>
          <w:sz w:val="22"/>
          <w:szCs w:val="22"/>
          <w:lang w:val="en"/>
        </w:rPr>
        <w:t>n in 2021 (</w:t>
      </w:r>
      <w:r>
        <w:rPr>
          <w:sz w:val="22"/>
          <w:szCs w:val="22"/>
          <w:lang w:val="en"/>
        </w:rPr>
        <w:t>+</w:t>
      </w:r>
      <w:r w:rsidR="000B1BA6">
        <w:rPr>
          <w:sz w:val="22"/>
          <w:szCs w:val="22"/>
          <w:lang w:val="en"/>
        </w:rPr>
        <w:t>3.3</w:t>
      </w:r>
      <w:r>
        <w:rPr>
          <w:sz w:val="22"/>
          <w:szCs w:val="22"/>
          <w:lang w:val="en"/>
        </w:rPr>
        <w:t xml:space="preserve"> points</w:t>
      </w:r>
      <w:r w:rsidRPr="004D42C5">
        <w:rPr>
          <w:sz w:val="22"/>
          <w:szCs w:val="22"/>
          <w:lang w:val="en"/>
        </w:rPr>
        <w:t>).</w:t>
      </w:r>
    </w:p>
    <w:p w14:paraId="62CA9B45" w14:textId="025EA844" w:rsidR="00791B87" w:rsidRPr="00087BE4" w:rsidRDefault="00397F7D" w:rsidP="00397F7D">
      <w:pPr>
        <w:spacing w:after="360" w:line="240" w:lineRule="auto"/>
        <w:jc w:val="both"/>
        <w:rPr>
          <w:sz w:val="22"/>
          <w:szCs w:val="22"/>
          <w:lang w:val="en-US"/>
        </w:rPr>
      </w:pPr>
      <w:r w:rsidRPr="004964E7">
        <w:rPr>
          <w:sz w:val="22"/>
          <w:szCs w:val="22"/>
          <w:lang w:val="en"/>
        </w:rPr>
        <w:t>The positive mix/price/enrichment effect of +€</w:t>
      </w:r>
      <w:r w:rsidR="0025141A" w:rsidRPr="004964E7">
        <w:rPr>
          <w:sz w:val="22"/>
          <w:szCs w:val="22"/>
          <w:lang w:val="en"/>
        </w:rPr>
        <w:t>3,</w:t>
      </w:r>
      <w:r w:rsidR="00C67EC2">
        <w:rPr>
          <w:sz w:val="22"/>
          <w:szCs w:val="22"/>
          <w:lang w:val="en"/>
        </w:rPr>
        <w:t>539</w:t>
      </w:r>
      <w:r w:rsidRPr="004964E7">
        <w:rPr>
          <w:sz w:val="22"/>
          <w:szCs w:val="22"/>
          <w:lang w:val="en"/>
        </w:rPr>
        <w:t xml:space="preserve"> million illustrate</w:t>
      </w:r>
      <w:r w:rsidR="00083E89">
        <w:rPr>
          <w:sz w:val="22"/>
          <w:szCs w:val="22"/>
          <w:lang w:val="en"/>
        </w:rPr>
        <w:t>d</w:t>
      </w:r>
      <w:r w:rsidRPr="004964E7">
        <w:rPr>
          <w:sz w:val="22"/>
          <w:szCs w:val="22"/>
          <w:lang w:val="en"/>
        </w:rPr>
        <w:t xml:space="preserve"> the success of the commercial policy focused on value over volume. </w:t>
      </w:r>
      <w:r w:rsidR="00D451B0">
        <w:rPr>
          <w:sz w:val="22"/>
          <w:szCs w:val="22"/>
          <w:lang w:val="en"/>
        </w:rPr>
        <w:t xml:space="preserve">It </w:t>
      </w:r>
      <w:r w:rsidR="002F2D07" w:rsidRPr="004964E7">
        <w:rPr>
          <w:sz w:val="22"/>
          <w:szCs w:val="22"/>
          <w:lang w:val="en"/>
        </w:rPr>
        <w:t>largely offset t</w:t>
      </w:r>
      <w:r w:rsidRPr="004964E7">
        <w:rPr>
          <w:sz w:val="22"/>
          <w:szCs w:val="22"/>
          <w:lang w:val="en"/>
        </w:rPr>
        <w:t>he</w:t>
      </w:r>
      <w:r w:rsidRPr="004964E7">
        <w:rPr>
          <w:lang w:val="en"/>
        </w:rPr>
        <w:t xml:space="preserve"> </w:t>
      </w:r>
      <w:r w:rsidRPr="004964E7">
        <w:rPr>
          <w:sz w:val="22"/>
          <w:szCs w:val="22"/>
          <w:lang w:val="en"/>
        </w:rPr>
        <w:t>increase in costs which amounted to</w:t>
      </w:r>
      <w:r w:rsidRPr="004964E7">
        <w:rPr>
          <w:lang w:val="en"/>
        </w:rPr>
        <w:t xml:space="preserve"> -</w:t>
      </w:r>
      <w:r w:rsidRPr="004964E7">
        <w:rPr>
          <w:sz w:val="22"/>
          <w:szCs w:val="22"/>
          <w:lang w:val="en"/>
        </w:rPr>
        <w:t>€</w:t>
      </w:r>
      <w:r w:rsidR="000F1DD0" w:rsidRPr="004964E7">
        <w:rPr>
          <w:sz w:val="22"/>
          <w:szCs w:val="22"/>
          <w:lang w:val="en"/>
        </w:rPr>
        <w:t>2,</w:t>
      </w:r>
      <w:r w:rsidR="00071F29">
        <w:rPr>
          <w:sz w:val="22"/>
          <w:szCs w:val="22"/>
          <w:lang w:val="en"/>
        </w:rPr>
        <w:t>288</w:t>
      </w:r>
      <w:r w:rsidRPr="004964E7">
        <w:rPr>
          <w:sz w:val="22"/>
          <w:szCs w:val="22"/>
          <w:lang w:val="en"/>
        </w:rPr>
        <w:t xml:space="preserve"> million. The latter </w:t>
      </w:r>
      <w:r w:rsidR="00083E89">
        <w:rPr>
          <w:sz w:val="22"/>
          <w:szCs w:val="22"/>
          <w:lang w:val="en"/>
        </w:rPr>
        <w:t>was</w:t>
      </w:r>
      <w:r w:rsidRPr="004964E7">
        <w:rPr>
          <w:sz w:val="22"/>
          <w:szCs w:val="22"/>
          <w:lang w:val="en"/>
        </w:rPr>
        <w:t xml:space="preserve"> mainly explained by the </w:t>
      </w:r>
      <w:r w:rsidR="00A30A01">
        <w:rPr>
          <w:sz w:val="22"/>
          <w:szCs w:val="22"/>
          <w:lang w:val="en"/>
        </w:rPr>
        <w:t xml:space="preserve">impact of inflation on </w:t>
      </w:r>
      <w:r w:rsidRPr="004964E7">
        <w:rPr>
          <w:sz w:val="22"/>
          <w:szCs w:val="22"/>
          <w:lang w:val="en"/>
        </w:rPr>
        <w:t>raw materials (-€</w:t>
      </w:r>
      <w:r w:rsidR="00F7527C" w:rsidRPr="004964E7">
        <w:rPr>
          <w:sz w:val="22"/>
          <w:szCs w:val="22"/>
          <w:lang w:val="en"/>
        </w:rPr>
        <w:t>1,916</w:t>
      </w:r>
      <w:r w:rsidRPr="004964E7">
        <w:rPr>
          <w:sz w:val="22"/>
          <w:szCs w:val="22"/>
          <w:lang w:val="en"/>
        </w:rPr>
        <w:t xml:space="preserve"> million)</w:t>
      </w:r>
      <w:r w:rsidR="00ED3A32">
        <w:rPr>
          <w:sz w:val="22"/>
          <w:szCs w:val="22"/>
          <w:lang w:val="en"/>
        </w:rPr>
        <w:t xml:space="preserve">, </w:t>
      </w:r>
      <w:r w:rsidR="00A515E1">
        <w:rPr>
          <w:sz w:val="22"/>
          <w:szCs w:val="22"/>
          <w:lang w:val="en"/>
        </w:rPr>
        <w:t xml:space="preserve">on </w:t>
      </w:r>
      <w:r w:rsidR="00052A37">
        <w:rPr>
          <w:sz w:val="22"/>
          <w:szCs w:val="22"/>
          <w:lang w:val="en"/>
        </w:rPr>
        <w:t>purchasing</w:t>
      </w:r>
      <w:r w:rsidR="0095462C">
        <w:rPr>
          <w:sz w:val="22"/>
          <w:szCs w:val="22"/>
          <w:lang w:val="en"/>
        </w:rPr>
        <w:t xml:space="preserve"> costs</w:t>
      </w:r>
      <w:r w:rsidR="004A2303">
        <w:rPr>
          <w:sz w:val="22"/>
          <w:szCs w:val="22"/>
          <w:lang w:val="en"/>
        </w:rPr>
        <w:t>,</w:t>
      </w:r>
      <w:r w:rsidR="0043215E">
        <w:rPr>
          <w:sz w:val="22"/>
          <w:szCs w:val="22"/>
          <w:lang w:val="en"/>
        </w:rPr>
        <w:t xml:space="preserve"> </w:t>
      </w:r>
      <w:r w:rsidR="001D7AA2">
        <w:rPr>
          <w:sz w:val="22"/>
          <w:szCs w:val="22"/>
          <w:lang w:val="en"/>
        </w:rPr>
        <w:t xml:space="preserve">and </w:t>
      </w:r>
      <w:r w:rsidR="00375135">
        <w:rPr>
          <w:sz w:val="22"/>
          <w:szCs w:val="22"/>
          <w:lang w:val="en"/>
        </w:rPr>
        <w:t>on</w:t>
      </w:r>
      <w:r w:rsidR="00A624CB">
        <w:rPr>
          <w:sz w:val="22"/>
          <w:szCs w:val="22"/>
          <w:lang w:val="en"/>
        </w:rPr>
        <w:t xml:space="preserve"> </w:t>
      </w:r>
      <w:r w:rsidR="002441E9">
        <w:rPr>
          <w:sz w:val="22"/>
          <w:szCs w:val="22"/>
          <w:lang w:val="en"/>
        </w:rPr>
        <w:t xml:space="preserve">manufacturing and </w:t>
      </w:r>
      <w:r w:rsidR="00BF6EF3">
        <w:rPr>
          <w:sz w:val="22"/>
          <w:szCs w:val="22"/>
          <w:lang w:val="en"/>
        </w:rPr>
        <w:t xml:space="preserve">logistic </w:t>
      </w:r>
      <w:r w:rsidR="002668F4">
        <w:rPr>
          <w:sz w:val="22"/>
          <w:szCs w:val="22"/>
          <w:lang w:val="en"/>
        </w:rPr>
        <w:t>costs</w:t>
      </w:r>
      <w:r w:rsidR="004A2303">
        <w:rPr>
          <w:sz w:val="22"/>
          <w:szCs w:val="22"/>
          <w:lang w:val="en"/>
        </w:rPr>
        <w:t>,</w:t>
      </w:r>
      <w:r w:rsidR="0023465B">
        <w:rPr>
          <w:sz w:val="22"/>
          <w:szCs w:val="22"/>
          <w:lang w:val="en"/>
        </w:rPr>
        <w:t xml:space="preserve"> </w:t>
      </w:r>
      <w:r w:rsidR="00B97EA5">
        <w:rPr>
          <w:sz w:val="22"/>
          <w:szCs w:val="22"/>
          <w:lang w:val="en"/>
        </w:rPr>
        <w:t>despite</w:t>
      </w:r>
      <w:r w:rsidR="00043121">
        <w:rPr>
          <w:sz w:val="22"/>
          <w:szCs w:val="22"/>
          <w:lang w:val="en"/>
        </w:rPr>
        <w:t xml:space="preserve"> continuous</w:t>
      </w:r>
      <w:r w:rsidR="00B97EA5">
        <w:rPr>
          <w:sz w:val="22"/>
          <w:szCs w:val="22"/>
          <w:lang w:val="en"/>
        </w:rPr>
        <w:t xml:space="preserve"> productivity gains</w:t>
      </w:r>
      <w:r w:rsidR="009A3A87">
        <w:rPr>
          <w:sz w:val="22"/>
          <w:szCs w:val="22"/>
          <w:lang w:val="en"/>
        </w:rPr>
        <w:t>.</w:t>
      </w:r>
      <w:r w:rsidR="00B97EA5">
        <w:rPr>
          <w:sz w:val="22"/>
          <w:szCs w:val="22"/>
          <w:lang w:val="en"/>
        </w:rPr>
        <w:t xml:space="preserve"> T</w:t>
      </w:r>
      <w:r w:rsidR="00FD35E0" w:rsidRPr="004964E7">
        <w:rPr>
          <w:sz w:val="22"/>
          <w:szCs w:val="22"/>
          <w:lang w:val="en"/>
        </w:rPr>
        <w:t xml:space="preserve">he volume effect </w:t>
      </w:r>
      <w:r w:rsidR="004A2303">
        <w:rPr>
          <w:sz w:val="22"/>
          <w:szCs w:val="22"/>
          <w:lang w:val="en"/>
        </w:rPr>
        <w:t>stood at</w:t>
      </w:r>
      <w:r w:rsidR="009A3A87">
        <w:rPr>
          <w:sz w:val="22"/>
          <w:szCs w:val="22"/>
          <w:lang w:val="en"/>
        </w:rPr>
        <w:t xml:space="preserve"> </w:t>
      </w:r>
      <w:r w:rsidR="00FD35E0" w:rsidRPr="004964E7">
        <w:rPr>
          <w:sz w:val="22"/>
          <w:szCs w:val="22"/>
          <w:lang w:val="en"/>
        </w:rPr>
        <w:t>+€</w:t>
      </w:r>
      <w:r w:rsidR="00FD35E0">
        <w:rPr>
          <w:sz w:val="22"/>
          <w:szCs w:val="22"/>
          <w:lang w:val="en"/>
        </w:rPr>
        <w:t>199</w:t>
      </w:r>
      <w:r w:rsidR="00FD35E0" w:rsidRPr="004964E7">
        <w:rPr>
          <w:lang w:val="en"/>
        </w:rPr>
        <w:t xml:space="preserve"> </w:t>
      </w:r>
      <w:r w:rsidR="00FD35E0" w:rsidRPr="004964E7">
        <w:rPr>
          <w:sz w:val="22"/>
          <w:szCs w:val="22"/>
          <w:lang w:val="en"/>
        </w:rPr>
        <w:t>million</w:t>
      </w:r>
      <w:r w:rsidR="009A3A87">
        <w:rPr>
          <w:sz w:val="22"/>
          <w:szCs w:val="22"/>
          <w:lang w:val="en"/>
        </w:rPr>
        <w:t>.</w:t>
      </w:r>
    </w:p>
    <w:p w14:paraId="3F8A612F" w14:textId="33662EF7" w:rsidR="00CD5A84" w:rsidRPr="00CD5A84" w:rsidRDefault="00397F7D" w:rsidP="00CD5A84">
      <w:pPr>
        <w:spacing w:line="240" w:lineRule="auto"/>
        <w:jc w:val="both"/>
        <w:rPr>
          <w:sz w:val="22"/>
          <w:szCs w:val="22"/>
          <w:lang w:val="en-US"/>
        </w:rPr>
      </w:pPr>
      <w:r w:rsidRPr="00A016BA">
        <w:rPr>
          <w:sz w:val="22"/>
          <w:szCs w:val="22"/>
          <w:lang w:val="en"/>
        </w:rPr>
        <w:t xml:space="preserve">The contribution </w:t>
      </w:r>
      <w:r>
        <w:rPr>
          <w:sz w:val="22"/>
          <w:szCs w:val="22"/>
          <w:lang w:val="en"/>
        </w:rPr>
        <w:t>of</w:t>
      </w:r>
      <w:r>
        <w:rPr>
          <w:b/>
          <w:bCs/>
          <w:sz w:val="22"/>
          <w:szCs w:val="22"/>
          <w:lang w:val="en"/>
        </w:rPr>
        <w:t xml:space="preserve"> M</w:t>
      </w:r>
      <w:r w:rsidRPr="00F15FB5">
        <w:rPr>
          <w:b/>
          <w:bCs/>
          <w:sz w:val="22"/>
          <w:szCs w:val="22"/>
          <w:lang w:val="en"/>
        </w:rPr>
        <w:t>obilize Financial Services</w:t>
      </w:r>
      <w:r>
        <w:rPr>
          <w:sz w:val="22"/>
          <w:szCs w:val="22"/>
          <w:lang w:val="en"/>
        </w:rPr>
        <w:t xml:space="preserve"> (</w:t>
      </w:r>
      <w:r w:rsidR="008411B2">
        <w:rPr>
          <w:sz w:val="22"/>
          <w:szCs w:val="22"/>
          <w:lang w:val="en"/>
        </w:rPr>
        <w:t xml:space="preserve">Sales </w:t>
      </w:r>
      <w:r w:rsidR="007F3582">
        <w:rPr>
          <w:sz w:val="22"/>
          <w:szCs w:val="22"/>
          <w:lang w:val="en"/>
        </w:rPr>
        <w:t>F</w:t>
      </w:r>
      <w:r w:rsidR="008411B2">
        <w:rPr>
          <w:sz w:val="22"/>
          <w:szCs w:val="22"/>
          <w:lang w:val="en"/>
        </w:rPr>
        <w:t>inancing</w:t>
      </w:r>
      <w:r>
        <w:rPr>
          <w:sz w:val="22"/>
          <w:szCs w:val="22"/>
          <w:lang w:val="en"/>
        </w:rPr>
        <w:t>)</w:t>
      </w:r>
      <w:r w:rsidRPr="00A016BA">
        <w:rPr>
          <w:sz w:val="22"/>
          <w:szCs w:val="22"/>
          <w:lang w:val="en"/>
        </w:rPr>
        <w:t xml:space="preserve"> to the Group's operating margin reached €</w:t>
      </w:r>
      <w:r w:rsidR="000F744C">
        <w:rPr>
          <w:sz w:val="22"/>
          <w:szCs w:val="22"/>
          <w:lang w:val="en"/>
        </w:rPr>
        <w:t>1,223</w:t>
      </w:r>
      <w:r w:rsidRPr="00A016BA">
        <w:rPr>
          <w:sz w:val="22"/>
          <w:szCs w:val="22"/>
          <w:lang w:val="en"/>
        </w:rPr>
        <w:t xml:space="preserve"> million, </w:t>
      </w:r>
      <w:r w:rsidR="00AB3EC0">
        <w:rPr>
          <w:sz w:val="22"/>
          <w:szCs w:val="22"/>
          <w:lang w:val="en"/>
        </w:rPr>
        <w:t>up</w:t>
      </w:r>
      <w:r w:rsidRPr="00A016BA">
        <w:rPr>
          <w:sz w:val="22"/>
          <w:szCs w:val="22"/>
          <w:lang w:val="en"/>
        </w:rPr>
        <w:t xml:space="preserve"> €</w:t>
      </w:r>
      <w:r w:rsidR="000F744C">
        <w:rPr>
          <w:sz w:val="22"/>
          <w:szCs w:val="22"/>
          <w:lang w:val="en"/>
        </w:rPr>
        <w:t>38</w:t>
      </w:r>
      <w:r w:rsidRPr="00A016BA">
        <w:rPr>
          <w:sz w:val="22"/>
          <w:szCs w:val="22"/>
          <w:lang w:val="en"/>
        </w:rPr>
        <w:t xml:space="preserve"> million compared to 2021</w:t>
      </w:r>
      <w:r w:rsidR="00696FFA">
        <w:rPr>
          <w:sz w:val="22"/>
          <w:szCs w:val="22"/>
          <w:lang w:val="en"/>
        </w:rPr>
        <w:t xml:space="preserve">. </w:t>
      </w:r>
      <w:r w:rsidR="00CD5A84" w:rsidRPr="00CD5A84">
        <w:rPr>
          <w:sz w:val="22"/>
          <w:szCs w:val="22"/>
          <w:lang w:val="en-US"/>
        </w:rPr>
        <w:t xml:space="preserve">It </w:t>
      </w:r>
      <w:r w:rsidR="001A0E67">
        <w:rPr>
          <w:sz w:val="22"/>
          <w:szCs w:val="22"/>
          <w:lang w:val="en-US"/>
        </w:rPr>
        <w:t>was</w:t>
      </w:r>
      <w:r w:rsidR="00CD5A84" w:rsidRPr="00CD5A84">
        <w:rPr>
          <w:sz w:val="22"/>
          <w:szCs w:val="22"/>
          <w:lang w:val="en-US"/>
        </w:rPr>
        <w:t xml:space="preserve"> positively impacted by non-recurring impacts on the swaps valuation mainly coming from the interest rate increase in Europe</w:t>
      </w:r>
      <w:r w:rsidR="00B92F4C">
        <w:rPr>
          <w:sz w:val="22"/>
          <w:szCs w:val="22"/>
          <w:lang w:val="en-US"/>
        </w:rPr>
        <w:t xml:space="preserve"> </w:t>
      </w:r>
      <w:r w:rsidR="00D8585B" w:rsidRPr="00D8585B">
        <w:rPr>
          <w:sz w:val="22"/>
          <w:szCs w:val="22"/>
          <w:lang w:val="en-US"/>
        </w:rPr>
        <w:t xml:space="preserve">and by the focus on </w:t>
      </w:r>
      <w:r w:rsidR="00DA0992">
        <w:rPr>
          <w:sz w:val="22"/>
          <w:szCs w:val="22"/>
          <w:lang w:val="en-US"/>
        </w:rPr>
        <w:t xml:space="preserve">the </w:t>
      </w:r>
      <w:r w:rsidR="00D8585B" w:rsidRPr="00D8585B">
        <w:rPr>
          <w:sz w:val="22"/>
          <w:szCs w:val="22"/>
          <w:lang w:val="en-US"/>
        </w:rPr>
        <w:t>most profitable customer channels bringing higher margins</w:t>
      </w:r>
      <w:r w:rsidR="00CD5A84" w:rsidRPr="00CD5A84">
        <w:rPr>
          <w:sz w:val="22"/>
          <w:szCs w:val="22"/>
          <w:lang w:val="en-US"/>
        </w:rPr>
        <w:t>.</w:t>
      </w:r>
      <w:r w:rsidR="0063458E">
        <w:rPr>
          <w:sz w:val="22"/>
          <w:szCs w:val="22"/>
          <w:lang w:val="en-US"/>
        </w:rPr>
        <w:t xml:space="preserve"> </w:t>
      </w:r>
    </w:p>
    <w:p w14:paraId="310A5D9F" w14:textId="48DBB34E" w:rsidR="00482598" w:rsidRPr="00FD15AD" w:rsidRDefault="00A871CB" w:rsidP="00FD15AD">
      <w:pPr>
        <w:spacing w:after="360" w:line="240" w:lineRule="auto"/>
        <w:jc w:val="both"/>
        <w:rPr>
          <w:sz w:val="22"/>
          <w:szCs w:val="22"/>
          <w:lang w:val="en"/>
        </w:rPr>
      </w:pPr>
      <w:r>
        <w:rPr>
          <w:sz w:val="22"/>
          <w:szCs w:val="22"/>
          <w:lang w:val="en"/>
        </w:rPr>
        <w:t>T</w:t>
      </w:r>
      <w:r w:rsidR="00DA059C" w:rsidRPr="00FD15AD">
        <w:rPr>
          <w:sz w:val="22"/>
          <w:szCs w:val="22"/>
          <w:lang w:val="en"/>
        </w:rPr>
        <w:t xml:space="preserve">he </w:t>
      </w:r>
      <w:r w:rsidR="00611DDF">
        <w:rPr>
          <w:sz w:val="22"/>
          <w:szCs w:val="22"/>
          <w:lang w:val="en"/>
        </w:rPr>
        <w:t>6.4</w:t>
      </w:r>
      <w:r w:rsidR="00DA059C" w:rsidRPr="00FD15AD">
        <w:rPr>
          <w:sz w:val="22"/>
          <w:szCs w:val="22"/>
          <w:lang w:val="en"/>
        </w:rPr>
        <w:t xml:space="preserve">% decrease of the number of new financing contracts </w:t>
      </w:r>
      <w:r>
        <w:rPr>
          <w:sz w:val="22"/>
          <w:szCs w:val="22"/>
          <w:lang w:val="en"/>
        </w:rPr>
        <w:t>in retail business</w:t>
      </w:r>
      <w:r w:rsidR="00D05FFE">
        <w:rPr>
          <w:sz w:val="22"/>
          <w:szCs w:val="22"/>
          <w:lang w:val="en"/>
        </w:rPr>
        <w:t>,</w:t>
      </w:r>
      <w:r>
        <w:rPr>
          <w:sz w:val="22"/>
          <w:szCs w:val="22"/>
          <w:lang w:val="en"/>
        </w:rPr>
        <w:t xml:space="preserve"> </w:t>
      </w:r>
      <w:r w:rsidR="0069017F" w:rsidRPr="00FD15AD">
        <w:rPr>
          <w:sz w:val="22"/>
          <w:szCs w:val="22"/>
          <w:lang w:val="en"/>
        </w:rPr>
        <w:t>mainly linked to the evolution of Group</w:t>
      </w:r>
      <w:r w:rsidR="006267D6">
        <w:rPr>
          <w:sz w:val="22"/>
          <w:szCs w:val="22"/>
          <w:lang w:val="en"/>
        </w:rPr>
        <w:t>’</w:t>
      </w:r>
      <w:r w:rsidR="0069017F" w:rsidRPr="00FD15AD">
        <w:rPr>
          <w:sz w:val="22"/>
          <w:szCs w:val="22"/>
          <w:lang w:val="en"/>
        </w:rPr>
        <w:t>s registrations</w:t>
      </w:r>
      <w:r w:rsidR="0069017F">
        <w:rPr>
          <w:sz w:val="22"/>
          <w:szCs w:val="22"/>
          <w:lang w:val="en"/>
        </w:rPr>
        <w:t xml:space="preserve">, </w:t>
      </w:r>
      <w:r w:rsidR="00E15264">
        <w:rPr>
          <w:sz w:val="22"/>
          <w:szCs w:val="22"/>
          <w:lang w:val="en"/>
        </w:rPr>
        <w:t xml:space="preserve">was </w:t>
      </w:r>
      <w:r w:rsidR="009B1CBA">
        <w:rPr>
          <w:sz w:val="22"/>
          <w:szCs w:val="22"/>
          <w:lang w:val="en"/>
        </w:rPr>
        <w:t xml:space="preserve">more than </w:t>
      </w:r>
      <w:r w:rsidR="0069017F">
        <w:rPr>
          <w:sz w:val="22"/>
          <w:szCs w:val="22"/>
          <w:lang w:val="en"/>
        </w:rPr>
        <w:t xml:space="preserve">offset </w:t>
      </w:r>
      <w:r w:rsidR="00801CC4">
        <w:rPr>
          <w:sz w:val="22"/>
          <w:szCs w:val="22"/>
          <w:lang w:val="en"/>
        </w:rPr>
        <w:t xml:space="preserve">by </w:t>
      </w:r>
      <w:r w:rsidR="0069017F">
        <w:rPr>
          <w:sz w:val="22"/>
          <w:szCs w:val="22"/>
          <w:lang w:val="en"/>
        </w:rPr>
        <w:t xml:space="preserve">the </w:t>
      </w:r>
      <w:r w:rsidR="00CD5A84" w:rsidRPr="00FD15AD">
        <w:rPr>
          <w:sz w:val="22"/>
          <w:szCs w:val="22"/>
          <w:lang w:val="en"/>
        </w:rPr>
        <w:t>1</w:t>
      </w:r>
      <w:r w:rsidR="00611DDF">
        <w:rPr>
          <w:sz w:val="22"/>
          <w:szCs w:val="22"/>
          <w:lang w:val="en"/>
        </w:rPr>
        <w:t>0.4</w:t>
      </w:r>
      <w:r w:rsidR="00CD5A84" w:rsidRPr="00FD15AD">
        <w:rPr>
          <w:sz w:val="22"/>
          <w:szCs w:val="22"/>
          <w:lang w:val="en"/>
        </w:rPr>
        <w:t>% increase in the average financed amount.</w:t>
      </w:r>
      <w:bookmarkStart w:id="0" w:name="_Hlk95301698"/>
      <w:r w:rsidR="00A97DC8" w:rsidRPr="00A97DC8">
        <w:rPr>
          <w:sz w:val="22"/>
          <w:szCs w:val="22"/>
          <w:lang w:val="en"/>
        </w:rPr>
        <w:t xml:space="preserve"> </w:t>
      </w:r>
      <w:r w:rsidR="00A90648">
        <w:rPr>
          <w:sz w:val="22"/>
          <w:szCs w:val="22"/>
          <w:lang w:val="en"/>
        </w:rPr>
        <w:t>Thus, n</w:t>
      </w:r>
      <w:r w:rsidR="001C616E">
        <w:rPr>
          <w:sz w:val="22"/>
          <w:szCs w:val="22"/>
          <w:lang w:val="en"/>
        </w:rPr>
        <w:t xml:space="preserve">ew financings </w:t>
      </w:r>
      <w:r w:rsidR="006E4A74">
        <w:rPr>
          <w:sz w:val="22"/>
          <w:szCs w:val="22"/>
          <w:lang w:val="en"/>
        </w:rPr>
        <w:t>increase</w:t>
      </w:r>
      <w:r w:rsidR="00E10F74">
        <w:rPr>
          <w:sz w:val="22"/>
          <w:szCs w:val="22"/>
          <w:lang w:val="en"/>
        </w:rPr>
        <w:t>d</w:t>
      </w:r>
      <w:r w:rsidR="006E4A74">
        <w:rPr>
          <w:sz w:val="22"/>
          <w:szCs w:val="22"/>
          <w:lang w:val="en"/>
        </w:rPr>
        <w:t xml:space="preserve"> by </w:t>
      </w:r>
      <w:r w:rsidR="00611DDF">
        <w:rPr>
          <w:sz w:val="22"/>
          <w:szCs w:val="22"/>
          <w:lang w:val="en"/>
        </w:rPr>
        <w:t>3</w:t>
      </w:r>
      <w:r w:rsidR="00A97DC8" w:rsidRPr="00FD15AD">
        <w:rPr>
          <w:sz w:val="22"/>
          <w:szCs w:val="22"/>
          <w:lang w:val="en"/>
        </w:rPr>
        <w:t xml:space="preserve">.3% </w:t>
      </w:r>
      <w:r w:rsidR="009875F3">
        <w:rPr>
          <w:sz w:val="22"/>
          <w:szCs w:val="22"/>
          <w:lang w:val="en"/>
        </w:rPr>
        <w:t>v</w:t>
      </w:r>
      <w:r w:rsidR="00FB506D">
        <w:rPr>
          <w:sz w:val="22"/>
          <w:szCs w:val="22"/>
          <w:lang w:val="en"/>
        </w:rPr>
        <w:t>ersus</w:t>
      </w:r>
      <w:r w:rsidR="009875F3">
        <w:rPr>
          <w:sz w:val="22"/>
          <w:szCs w:val="22"/>
          <w:lang w:val="en"/>
        </w:rPr>
        <w:t xml:space="preserve"> 2021</w:t>
      </w:r>
      <w:r w:rsidR="00A97DC8" w:rsidRPr="00FD15AD">
        <w:rPr>
          <w:sz w:val="22"/>
          <w:szCs w:val="22"/>
          <w:lang w:val="en"/>
        </w:rPr>
        <w:t>.</w:t>
      </w:r>
    </w:p>
    <w:p w14:paraId="55D4994F" w14:textId="3A921D7C" w:rsidR="00D30C27" w:rsidRPr="00EB312C" w:rsidRDefault="00D30C27" w:rsidP="009875A1">
      <w:pPr>
        <w:spacing w:before="0" w:line="240" w:lineRule="auto"/>
        <w:jc w:val="both"/>
        <w:rPr>
          <w:rFonts w:ascii="Renault Group" w:eastAsia="Renault Group" w:hAnsi="Renault Group" w:cs="Times New Roman"/>
          <w:sz w:val="22"/>
          <w:szCs w:val="22"/>
          <w:lang w:val="en-US"/>
        </w:rPr>
      </w:pPr>
      <w:r w:rsidRPr="00FD15AD">
        <w:rPr>
          <w:b/>
          <w:bCs/>
          <w:sz w:val="22"/>
          <w:szCs w:val="22"/>
          <w:lang w:val="en"/>
        </w:rPr>
        <w:t>Other operating income and expenses</w:t>
      </w:r>
      <w:r w:rsidRPr="004D42C5">
        <w:rPr>
          <w:sz w:val="22"/>
          <w:szCs w:val="22"/>
          <w:lang w:val="en"/>
        </w:rPr>
        <w:t xml:space="preserve"> were negative at -</w:t>
      </w:r>
      <w:r w:rsidRPr="00FD15AD">
        <w:rPr>
          <w:sz w:val="22"/>
          <w:szCs w:val="22"/>
          <w:lang w:val="en"/>
        </w:rPr>
        <w:t>€</w:t>
      </w:r>
      <w:r w:rsidR="006612EE">
        <w:rPr>
          <w:sz w:val="22"/>
          <w:szCs w:val="22"/>
          <w:lang w:val="en"/>
        </w:rPr>
        <w:t>379</w:t>
      </w:r>
      <w:r w:rsidRPr="004D42C5">
        <w:rPr>
          <w:sz w:val="22"/>
          <w:szCs w:val="22"/>
          <w:lang w:val="en"/>
        </w:rPr>
        <w:t xml:space="preserve"> million (</w:t>
      </w:r>
      <w:r>
        <w:rPr>
          <w:sz w:val="22"/>
          <w:szCs w:val="22"/>
          <w:lang w:val="en"/>
        </w:rPr>
        <w:t>versus</w:t>
      </w:r>
      <w:r w:rsidRPr="00FD15AD">
        <w:rPr>
          <w:sz w:val="22"/>
          <w:szCs w:val="22"/>
          <w:lang w:val="en"/>
        </w:rPr>
        <w:t xml:space="preserve"> -€</w:t>
      </w:r>
      <w:r w:rsidR="00E35059">
        <w:rPr>
          <w:sz w:val="22"/>
          <w:szCs w:val="22"/>
          <w:lang w:val="en"/>
        </w:rPr>
        <w:t>253</w:t>
      </w:r>
      <w:r w:rsidRPr="004D42C5">
        <w:rPr>
          <w:sz w:val="22"/>
          <w:szCs w:val="22"/>
          <w:lang w:val="en"/>
        </w:rPr>
        <w:t xml:space="preserve"> million </w:t>
      </w:r>
      <w:r>
        <w:rPr>
          <w:sz w:val="22"/>
          <w:szCs w:val="22"/>
          <w:lang w:val="en"/>
        </w:rPr>
        <w:t xml:space="preserve">in </w:t>
      </w:r>
      <w:r w:rsidRPr="004D42C5">
        <w:rPr>
          <w:sz w:val="22"/>
          <w:szCs w:val="22"/>
          <w:lang w:val="en"/>
        </w:rPr>
        <w:t>202</w:t>
      </w:r>
      <w:r>
        <w:rPr>
          <w:sz w:val="22"/>
          <w:szCs w:val="22"/>
          <w:lang w:val="en"/>
        </w:rPr>
        <w:t>1</w:t>
      </w:r>
      <w:r w:rsidRPr="004D42C5">
        <w:rPr>
          <w:sz w:val="22"/>
          <w:szCs w:val="22"/>
          <w:lang w:val="en"/>
        </w:rPr>
        <w:t>)</w:t>
      </w:r>
      <w:r>
        <w:rPr>
          <w:sz w:val="22"/>
          <w:szCs w:val="22"/>
          <w:lang w:val="en"/>
        </w:rPr>
        <w:t xml:space="preserve"> and were </w:t>
      </w:r>
      <w:r w:rsidR="00C11442">
        <w:rPr>
          <w:sz w:val="22"/>
          <w:szCs w:val="22"/>
          <w:lang w:val="en"/>
        </w:rPr>
        <w:t xml:space="preserve">mostly </w:t>
      </w:r>
      <w:r>
        <w:rPr>
          <w:sz w:val="22"/>
          <w:szCs w:val="22"/>
          <w:lang w:val="en"/>
        </w:rPr>
        <w:t xml:space="preserve">explained by </w:t>
      </w:r>
      <w:r w:rsidRPr="00055234">
        <w:rPr>
          <w:sz w:val="22"/>
          <w:szCs w:val="22"/>
          <w:lang w:val="en"/>
        </w:rPr>
        <w:t>restructuring provisions</w:t>
      </w:r>
      <w:r w:rsidR="007975F0">
        <w:rPr>
          <w:sz w:val="22"/>
          <w:szCs w:val="22"/>
          <w:lang w:val="en"/>
        </w:rPr>
        <w:t xml:space="preserve"> </w:t>
      </w:r>
      <w:r w:rsidR="00ED2C02">
        <w:rPr>
          <w:sz w:val="22"/>
          <w:szCs w:val="22"/>
          <w:lang w:val="en"/>
        </w:rPr>
        <w:t xml:space="preserve">for </w:t>
      </w:r>
      <w:r>
        <w:rPr>
          <w:sz w:val="22"/>
          <w:szCs w:val="22"/>
          <w:lang w:val="en"/>
        </w:rPr>
        <w:t>-</w:t>
      </w:r>
      <w:r w:rsidRPr="00055234">
        <w:rPr>
          <w:sz w:val="22"/>
          <w:szCs w:val="22"/>
          <w:lang w:val="en"/>
        </w:rPr>
        <w:t>€</w:t>
      </w:r>
      <w:r w:rsidR="002148B6">
        <w:rPr>
          <w:sz w:val="22"/>
          <w:szCs w:val="22"/>
          <w:lang w:val="en"/>
        </w:rPr>
        <w:t>354</w:t>
      </w:r>
      <w:r w:rsidRPr="00055234">
        <w:rPr>
          <w:sz w:val="22"/>
          <w:szCs w:val="22"/>
          <w:lang w:val="en"/>
        </w:rPr>
        <w:t xml:space="preserve"> million</w:t>
      </w:r>
      <w:r w:rsidR="00C16F3D">
        <w:rPr>
          <w:sz w:val="22"/>
          <w:szCs w:val="22"/>
          <w:lang w:val="en"/>
        </w:rPr>
        <w:t xml:space="preserve"> and</w:t>
      </w:r>
      <w:r w:rsidR="00F77308">
        <w:rPr>
          <w:sz w:val="22"/>
          <w:szCs w:val="22"/>
          <w:lang w:val="en"/>
        </w:rPr>
        <w:t xml:space="preserve"> impairments</w:t>
      </w:r>
      <w:r w:rsidR="00DC4540">
        <w:rPr>
          <w:sz w:val="22"/>
          <w:szCs w:val="22"/>
          <w:lang w:val="en"/>
        </w:rPr>
        <w:t xml:space="preserve"> </w:t>
      </w:r>
      <w:r w:rsidR="00E07A34">
        <w:rPr>
          <w:sz w:val="22"/>
          <w:szCs w:val="22"/>
          <w:lang w:val="en"/>
        </w:rPr>
        <w:t xml:space="preserve">for </w:t>
      </w:r>
      <w:r w:rsidR="00586A1D">
        <w:rPr>
          <w:sz w:val="22"/>
          <w:szCs w:val="22"/>
          <w:lang w:val="en"/>
        </w:rPr>
        <w:br/>
      </w:r>
      <w:r w:rsidR="00E07A34">
        <w:rPr>
          <w:sz w:val="22"/>
          <w:szCs w:val="22"/>
          <w:lang w:val="en"/>
        </w:rPr>
        <w:t>-€2</w:t>
      </w:r>
      <w:r w:rsidR="002F429E">
        <w:rPr>
          <w:sz w:val="22"/>
          <w:szCs w:val="22"/>
          <w:lang w:val="en"/>
        </w:rPr>
        <w:t>57</w:t>
      </w:r>
      <w:r w:rsidR="00E07A34">
        <w:rPr>
          <w:sz w:val="22"/>
          <w:szCs w:val="22"/>
          <w:lang w:val="en"/>
        </w:rPr>
        <w:t xml:space="preserve"> million </w:t>
      </w:r>
      <w:r w:rsidR="0078628C">
        <w:rPr>
          <w:sz w:val="22"/>
          <w:szCs w:val="22"/>
          <w:lang w:val="en"/>
        </w:rPr>
        <w:t xml:space="preserve">mainly </w:t>
      </w:r>
      <w:r w:rsidR="00F10A7B">
        <w:rPr>
          <w:sz w:val="22"/>
          <w:szCs w:val="22"/>
          <w:lang w:val="en"/>
        </w:rPr>
        <w:t>relat</w:t>
      </w:r>
      <w:r w:rsidR="00CD3C44">
        <w:rPr>
          <w:sz w:val="22"/>
          <w:szCs w:val="22"/>
          <w:lang w:val="en"/>
        </w:rPr>
        <w:t>ed</w:t>
      </w:r>
      <w:r w:rsidR="006B6CB5">
        <w:rPr>
          <w:sz w:val="22"/>
          <w:szCs w:val="22"/>
          <w:lang w:val="en"/>
        </w:rPr>
        <w:t xml:space="preserve"> to </w:t>
      </w:r>
      <w:r w:rsidR="005865A9">
        <w:rPr>
          <w:sz w:val="22"/>
          <w:szCs w:val="22"/>
          <w:lang w:val="en"/>
        </w:rPr>
        <w:t>a</w:t>
      </w:r>
      <w:r w:rsidR="009C5E40">
        <w:rPr>
          <w:sz w:val="22"/>
          <w:szCs w:val="22"/>
          <w:lang w:val="en"/>
        </w:rPr>
        <w:t xml:space="preserve"> </w:t>
      </w:r>
      <w:r w:rsidR="0042672D">
        <w:rPr>
          <w:sz w:val="22"/>
          <w:szCs w:val="22"/>
          <w:lang w:val="en"/>
        </w:rPr>
        <w:t>C</w:t>
      </w:r>
      <w:r w:rsidR="009C5E40">
        <w:rPr>
          <w:sz w:val="22"/>
          <w:szCs w:val="22"/>
          <w:lang w:val="en"/>
        </w:rPr>
        <w:t xml:space="preserve">hinese </w:t>
      </w:r>
      <w:r w:rsidR="00BC1B44">
        <w:rPr>
          <w:sz w:val="22"/>
          <w:szCs w:val="22"/>
          <w:lang w:val="en"/>
        </w:rPr>
        <w:t>facility</w:t>
      </w:r>
      <w:r w:rsidR="00B3192B">
        <w:rPr>
          <w:sz w:val="22"/>
          <w:szCs w:val="22"/>
          <w:lang w:val="en"/>
        </w:rPr>
        <w:t xml:space="preserve">, partially offset by </w:t>
      </w:r>
      <w:r w:rsidRPr="00055234">
        <w:rPr>
          <w:sz w:val="22"/>
          <w:szCs w:val="22"/>
          <w:lang w:val="en"/>
        </w:rPr>
        <w:t>asset disposals (</w:t>
      </w:r>
      <w:r>
        <w:rPr>
          <w:sz w:val="22"/>
          <w:szCs w:val="22"/>
          <w:lang w:val="en"/>
        </w:rPr>
        <w:t>+€</w:t>
      </w:r>
      <w:r w:rsidR="00EB312C">
        <w:rPr>
          <w:sz w:val="22"/>
          <w:szCs w:val="22"/>
          <w:lang w:val="en"/>
        </w:rPr>
        <w:t>202</w:t>
      </w:r>
      <w:r w:rsidRPr="00055234">
        <w:rPr>
          <w:sz w:val="22"/>
          <w:szCs w:val="22"/>
          <w:lang w:val="en"/>
        </w:rPr>
        <w:t xml:space="preserve"> million) </w:t>
      </w:r>
      <w:r w:rsidRPr="00EB312C">
        <w:rPr>
          <w:sz w:val="22"/>
          <w:szCs w:val="22"/>
          <w:lang w:val="en"/>
        </w:rPr>
        <w:t>related to the sale</w:t>
      </w:r>
      <w:r w:rsidRPr="00EB312C">
        <w:rPr>
          <w:lang w:val="en"/>
        </w:rPr>
        <w:t xml:space="preserve"> </w:t>
      </w:r>
      <w:r w:rsidRPr="00EB312C">
        <w:rPr>
          <w:sz w:val="22"/>
          <w:szCs w:val="22"/>
          <w:lang w:val="en"/>
        </w:rPr>
        <w:t>of several commercial subsidiaries of the Group and branches of RRG</w:t>
      </w:r>
      <w:r w:rsidR="009875A1">
        <w:rPr>
          <w:sz w:val="22"/>
          <w:szCs w:val="22"/>
          <w:lang w:val="en"/>
        </w:rPr>
        <w:t>,</w:t>
      </w:r>
      <w:r w:rsidR="006C0716" w:rsidRPr="006C0716">
        <w:rPr>
          <w:rFonts w:ascii="Renault Group" w:eastAsia="Renault Group" w:hAnsi="Renault Group" w:cs="Times New Roman"/>
          <w:sz w:val="22"/>
          <w:szCs w:val="22"/>
          <w:lang w:val="en"/>
        </w:rPr>
        <w:t xml:space="preserve"> </w:t>
      </w:r>
      <w:r w:rsidR="006C0716" w:rsidRPr="003858B9">
        <w:rPr>
          <w:rFonts w:ascii="Renault Group" w:eastAsia="Renault Group" w:hAnsi="Renault Group" w:cs="Times New Roman"/>
          <w:sz w:val="22"/>
          <w:szCs w:val="22"/>
          <w:lang w:val="en"/>
        </w:rPr>
        <w:t>in line with the announced strategy.</w:t>
      </w:r>
    </w:p>
    <w:p w14:paraId="580A5951" w14:textId="136FFF4D" w:rsidR="00D30C27" w:rsidRPr="00B157D7" w:rsidRDefault="00D30C27" w:rsidP="00D30C27">
      <w:pPr>
        <w:spacing w:after="360" w:line="240" w:lineRule="auto"/>
        <w:jc w:val="both"/>
        <w:rPr>
          <w:rFonts w:ascii="Renault Group" w:eastAsia="Renault Group" w:hAnsi="Renault Group" w:cs="Times New Roman"/>
          <w:sz w:val="22"/>
          <w:szCs w:val="22"/>
          <w:lang w:val="en-US"/>
        </w:rPr>
      </w:pPr>
      <w:r w:rsidRPr="004D42C5">
        <w:rPr>
          <w:sz w:val="22"/>
          <w:szCs w:val="22"/>
          <w:lang w:val="en"/>
        </w:rPr>
        <w:t xml:space="preserve">After taking into account other operating income and expenses, the </w:t>
      </w:r>
      <w:r w:rsidRPr="004D42C5">
        <w:rPr>
          <w:b/>
          <w:sz w:val="22"/>
          <w:szCs w:val="22"/>
          <w:lang w:val="en"/>
        </w:rPr>
        <w:t>Group</w:t>
      </w:r>
      <w:r w:rsidR="006267D6">
        <w:rPr>
          <w:b/>
          <w:sz w:val="22"/>
          <w:szCs w:val="22"/>
          <w:lang w:val="en"/>
        </w:rPr>
        <w:t>’</w:t>
      </w:r>
      <w:r w:rsidRPr="004D42C5">
        <w:rPr>
          <w:b/>
          <w:sz w:val="22"/>
          <w:szCs w:val="22"/>
          <w:lang w:val="en"/>
        </w:rPr>
        <w:t>s operating income</w:t>
      </w:r>
      <w:r w:rsidRPr="004D42C5">
        <w:rPr>
          <w:sz w:val="22"/>
          <w:szCs w:val="22"/>
          <w:lang w:val="en"/>
        </w:rPr>
        <w:t xml:space="preserve"> stood at</w:t>
      </w:r>
      <w:r>
        <w:rPr>
          <w:lang w:val="en"/>
        </w:rPr>
        <w:t xml:space="preserve"> </w:t>
      </w:r>
      <w:r w:rsidRPr="006D5189">
        <w:rPr>
          <w:sz w:val="22"/>
          <w:szCs w:val="24"/>
          <w:lang w:val="en"/>
        </w:rPr>
        <w:t>€</w:t>
      </w:r>
      <w:r w:rsidR="00526474">
        <w:rPr>
          <w:sz w:val="22"/>
          <w:szCs w:val="22"/>
          <w:lang w:val="en"/>
        </w:rPr>
        <w:t>2,2</w:t>
      </w:r>
      <w:r w:rsidR="00BE2CAC">
        <w:rPr>
          <w:sz w:val="22"/>
          <w:szCs w:val="22"/>
          <w:lang w:val="en"/>
        </w:rPr>
        <w:t>16</w:t>
      </w:r>
      <w:r w:rsidRPr="00DC56D7">
        <w:rPr>
          <w:sz w:val="22"/>
          <w:szCs w:val="22"/>
          <w:lang w:val="en"/>
        </w:rPr>
        <w:t xml:space="preserve"> million </w:t>
      </w:r>
      <w:r>
        <w:rPr>
          <w:sz w:val="22"/>
          <w:szCs w:val="22"/>
          <w:lang w:val="en"/>
        </w:rPr>
        <w:t>versus</w:t>
      </w:r>
      <w:r w:rsidRPr="004D42C5">
        <w:rPr>
          <w:sz w:val="22"/>
          <w:szCs w:val="22"/>
          <w:lang w:val="en"/>
        </w:rPr>
        <w:t xml:space="preserve"> €</w:t>
      </w:r>
      <w:r w:rsidR="00E35059">
        <w:rPr>
          <w:sz w:val="22"/>
          <w:szCs w:val="22"/>
          <w:lang w:val="en"/>
        </w:rPr>
        <w:t>900</w:t>
      </w:r>
      <w:r w:rsidRPr="00193DAE">
        <w:rPr>
          <w:sz w:val="22"/>
          <w:szCs w:val="22"/>
          <w:lang w:val="en"/>
        </w:rPr>
        <w:t xml:space="preserve"> million </w:t>
      </w:r>
      <w:r>
        <w:rPr>
          <w:sz w:val="22"/>
          <w:szCs w:val="22"/>
          <w:lang w:val="en"/>
        </w:rPr>
        <w:t xml:space="preserve">in </w:t>
      </w:r>
      <w:r w:rsidRPr="004D42C5">
        <w:rPr>
          <w:sz w:val="22"/>
          <w:szCs w:val="22"/>
          <w:lang w:val="en"/>
        </w:rPr>
        <w:t>202</w:t>
      </w:r>
      <w:r>
        <w:rPr>
          <w:sz w:val="22"/>
          <w:szCs w:val="22"/>
          <w:lang w:val="en"/>
        </w:rPr>
        <w:t>1</w:t>
      </w:r>
      <w:r w:rsidR="00B05DB9">
        <w:rPr>
          <w:sz w:val="22"/>
          <w:szCs w:val="22"/>
          <w:lang w:val="en"/>
        </w:rPr>
        <w:t xml:space="preserve"> (+€1,3</w:t>
      </w:r>
      <w:r w:rsidR="00BE2CAC">
        <w:rPr>
          <w:sz w:val="22"/>
          <w:szCs w:val="22"/>
          <w:lang w:val="en"/>
        </w:rPr>
        <w:t>16</w:t>
      </w:r>
      <w:r w:rsidR="00B05DB9">
        <w:rPr>
          <w:sz w:val="22"/>
          <w:szCs w:val="22"/>
          <w:lang w:val="en"/>
        </w:rPr>
        <w:t xml:space="preserve"> million versus 2021)</w:t>
      </w:r>
      <w:r w:rsidRPr="004D42C5">
        <w:rPr>
          <w:sz w:val="22"/>
          <w:szCs w:val="22"/>
          <w:lang w:val="en"/>
        </w:rPr>
        <w:t>.</w:t>
      </w:r>
    </w:p>
    <w:p w14:paraId="20116EAA" w14:textId="1C8FC142" w:rsidR="00D30C27" w:rsidRPr="008121DF" w:rsidRDefault="00D30C27" w:rsidP="00D30C27">
      <w:pPr>
        <w:spacing w:after="360" w:line="240" w:lineRule="auto"/>
        <w:jc w:val="both"/>
        <w:rPr>
          <w:sz w:val="22"/>
          <w:szCs w:val="22"/>
          <w:lang w:val="en"/>
        </w:rPr>
      </w:pPr>
      <w:r w:rsidRPr="00913AEA">
        <w:rPr>
          <w:b/>
          <w:bCs/>
          <w:sz w:val="22"/>
          <w:szCs w:val="22"/>
          <w:lang w:val="en"/>
        </w:rPr>
        <w:lastRenderedPageBreak/>
        <w:t>Net financial income and expenses</w:t>
      </w:r>
      <w:r w:rsidRPr="00913AEA">
        <w:rPr>
          <w:lang w:val="en-US"/>
        </w:rPr>
        <w:t xml:space="preserve"> </w:t>
      </w:r>
      <w:r w:rsidRPr="00657D3B">
        <w:rPr>
          <w:sz w:val="22"/>
          <w:szCs w:val="22"/>
          <w:lang w:val="en"/>
        </w:rPr>
        <w:t>amounted to -€</w:t>
      </w:r>
      <w:r w:rsidR="008042EA">
        <w:rPr>
          <w:sz w:val="22"/>
          <w:szCs w:val="22"/>
          <w:lang w:val="en"/>
        </w:rPr>
        <w:t>48</w:t>
      </w:r>
      <w:r w:rsidR="00BE2CAC">
        <w:rPr>
          <w:sz w:val="22"/>
          <w:szCs w:val="22"/>
          <w:lang w:val="en"/>
        </w:rPr>
        <w:t>6</w:t>
      </w:r>
      <w:r w:rsidRPr="00657D3B">
        <w:rPr>
          <w:sz w:val="22"/>
          <w:szCs w:val="22"/>
          <w:lang w:val="en"/>
        </w:rPr>
        <w:t xml:space="preserve"> million compared to -€</w:t>
      </w:r>
      <w:r w:rsidR="007013C1">
        <w:rPr>
          <w:sz w:val="22"/>
          <w:szCs w:val="22"/>
          <w:lang w:val="en"/>
        </w:rPr>
        <w:t>295</w:t>
      </w:r>
      <w:r w:rsidRPr="00657D3B">
        <w:rPr>
          <w:sz w:val="22"/>
          <w:szCs w:val="22"/>
          <w:lang w:val="en"/>
        </w:rPr>
        <w:t xml:space="preserve"> million in 2021. </w:t>
      </w:r>
      <w:r w:rsidR="000D3EF8">
        <w:rPr>
          <w:sz w:val="22"/>
          <w:szCs w:val="22"/>
          <w:lang w:val="en"/>
        </w:rPr>
        <w:t>Most of t</w:t>
      </w:r>
      <w:r w:rsidRPr="00657D3B">
        <w:rPr>
          <w:sz w:val="22"/>
          <w:szCs w:val="22"/>
          <w:lang w:val="en"/>
        </w:rPr>
        <w:t xml:space="preserve">his deterioration </w:t>
      </w:r>
      <w:r w:rsidR="007B5755">
        <w:rPr>
          <w:sz w:val="22"/>
          <w:szCs w:val="22"/>
          <w:lang w:val="en"/>
        </w:rPr>
        <w:t>is</w:t>
      </w:r>
      <w:r w:rsidRPr="00657D3B">
        <w:rPr>
          <w:sz w:val="22"/>
          <w:szCs w:val="22"/>
          <w:lang w:val="en"/>
        </w:rPr>
        <w:t xml:space="preserve"> explained </w:t>
      </w:r>
      <w:r w:rsidRPr="008042EA">
        <w:rPr>
          <w:sz w:val="22"/>
          <w:szCs w:val="22"/>
          <w:lang w:val="en"/>
        </w:rPr>
        <w:t xml:space="preserve">by the </w:t>
      </w:r>
      <w:r w:rsidR="001743A2">
        <w:rPr>
          <w:sz w:val="22"/>
          <w:szCs w:val="22"/>
          <w:lang w:val="en"/>
        </w:rPr>
        <w:t xml:space="preserve">accounting </w:t>
      </w:r>
      <w:r w:rsidRPr="008042EA">
        <w:rPr>
          <w:sz w:val="22"/>
          <w:szCs w:val="22"/>
          <w:lang w:val="en"/>
        </w:rPr>
        <w:t>impact of hyperinflation in Argentina</w:t>
      </w:r>
      <w:r w:rsidR="008121DF">
        <w:rPr>
          <w:sz w:val="22"/>
          <w:szCs w:val="22"/>
          <w:lang w:val="en"/>
        </w:rPr>
        <w:t xml:space="preserve"> </w:t>
      </w:r>
      <w:r w:rsidR="008121DF" w:rsidRPr="008121DF">
        <w:rPr>
          <w:sz w:val="22"/>
          <w:szCs w:val="22"/>
          <w:lang w:val="en"/>
        </w:rPr>
        <w:t xml:space="preserve">despite the decrease in financial interests on </w:t>
      </w:r>
      <w:r w:rsidR="006267D6">
        <w:rPr>
          <w:sz w:val="22"/>
          <w:szCs w:val="22"/>
          <w:lang w:val="en"/>
        </w:rPr>
        <w:t xml:space="preserve">the </w:t>
      </w:r>
      <w:r w:rsidR="008121DF" w:rsidRPr="008121DF">
        <w:rPr>
          <w:sz w:val="22"/>
          <w:szCs w:val="22"/>
          <w:lang w:val="en"/>
        </w:rPr>
        <w:t>net debt</w:t>
      </w:r>
      <w:r w:rsidR="00186D5C">
        <w:rPr>
          <w:sz w:val="22"/>
          <w:szCs w:val="22"/>
          <w:lang w:val="en"/>
        </w:rPr>
        <w:t>.</w:t>
      </w:r>
    </w:p>
    <w:p w14:paraId="57CF3B5C" w14:textId="1D16238A" w:rsidR="00D30C27" w:rsidRPr="00AB3EC0" w:rsidRDefault="00D30C27" w:rsidP="00D30C27">
      <w:pPr>
        <w:spacing w:after="360" w:line="240" w:lineRule="auto"/>
        <w:jc w:val="both"/>
        <w:rPr>
          <w:rFonts w:ascii="Renault Group" w:eastAsia="Renault Group" w:hAnsi="Renault Group" w:cs="Times New Roman"/>
          <w:color w:val="FF0000"/>
          <w:sz w:val="22"/>
          <w:szCs w:val="22"/>
          <w:lang w:val="en-US"/>
        </w:rPr>
      </w:pPr>
      <w:r w:rsidRPr="00C74040">
        <w:rPr>
          <w:rFonts w:ascii="Renault Group" w:eastAsia="Renault Group" w:hAnsi="Renault Group" w:cs="Times New Roman"/>
          <w:sz w:val="22"/>
          <w:szCs w:val="22"/>
          <w:lang w:val="en-US"/>
        </w:rPr>
        <w:t xml:space="preserve">The </w:t>
      </w:r>
      <w:r w:rsidRPr="00C74040">
        <w:rPr>
          <w:rFonts w:ascii="Renault Group" w:eastAsia="Renault Group" w:hAnsi="Renault Group" w:cs="Times New Roman"/>
          <w:b/>
          <w:bCs/>
          <w:sz w:val="22"/>
          <w:szCs w:val="22"/>
          <w:lang w:val="en-US"/>
        </w:rPr>
        <w:t>contribution of associated companies</w:t>
      </w:r>
      <w:r w:rsidRPr="00C74040">
        <w:rPr>
          <w:rFonts w:ascii="Renault Group" w:eastAsia="Renault Group" w:hAnsi="Renault Group" w:cs="Times New Roman"/>
          <w:sz w:val="22"/>
          <w:szCs w:val="22"/>
          <w:lang w:val="en-US"/>
        </w:rPr>
        <w:t xml:space="preserve"> amounted to €</w:t>
      </w:r>
      <w:r w:rsidR="00F74745" w:rsidRPr="00C74040">
        <w:rPr>
          <w:rFonts w:ascii="Renault Group" w:eastAsia="Renault Group" w:hAnsi="Renault Group" w:cs="Times New Roman"/>
          <w:sz w:val="22"/>
          <w:szCs w:val="22"/>
          <w:lang w:val="en-US"/>
        </w:rPr>
        <w:t>423</w:t>
      </w:r>
      <w:r w:rsidRPr="00C74040">
        <w:rPr>
          <w:rFonts w:ascii="Renault Group" w:eastAsia="Renault Group" w:hAnsi="Renault Group" w:cs="Times New Roman"/>
          <w:sz w:val="22"/>
          <w:szCs w:val="22"/>
          <w:lang w:val="en-US"/>
        </w:rPr>
        <w:t xml:space="preserve"> million</w:t>
      </w:r>
      <w:r w:rsidR="00A82180" w:rsidRPr="00C74040">
        <w:rPr>
          <w:rFonts w:ascii="Renault Group" w:eastAsia="Renault Group" w:hAnsi="Renault Group" w:cs="Times New Roman"/>
          <w:sz w:val="22"/>
          <w:szCs w:val="22"/>
          <w:lang w:val="en-US"/>
        </w:rPr>
        <w:t xml:space="preserve"> </w:t>
      </w:r>
      <w:r w:rsidRPr="00C74040">
        <w:rPr>
          <w:rFonts w:ascii="Renault Group" w:eastAsia="Renault Group" w:hAnsi="Renault Group" w:cs="Times New Roman"/>
          <w:sz w:val="22"/>
          <w:szCs w:val="22"/>
          <w:lang w:val="en-US"/>
        </w:rPr>
        <w:t xml:space="preserve">compared </w:t>
      </w:r>
      <w:r w:rsidR="00E05E63" w:rsidRPr="00C74040">
        <w:rPr>
          <w:rFonts w:ascii="Renault Group" w:eastAsia="Renault Group" w:hAnsi="Renault Group" w:cs="Times New Roman"/>
          <w:sz w:val="22"/>
          <w:szCs w:val="22"/>
          <w:lang w:val="en-US"/>
        </w:rPr>
        <w:t>to</w:t>
      </w:r>
      <w:r w:rsidRPr="00C74040">
        <w:rPr>
          <w:rFonts w:ascii="Renault Group" w:eastAsia="Renault Group" w:hAnsi="Renault Group" w:cs="Times New Roman"/>
          <w:sz w:val="22"/>
          <w:szCs w:val="22"/>
          <w:lang w:val="en-US"/>
        </w:rPr>
        <w:t xml:space="preserve"> </w:t>
      </w:r>
      <w:r w:rsidR="00A82180" w:rsidRPr="00C74040">
        <w:rPr>
          <w:rFonts w:ascii="Renault Group" w:eastAsia="Renault Group" w:hAnsi="Renault Group" w:cs="Times New Roman"/>
          <w:sz w:val="22"/>
          <w:szCs w:val="22"/>
          <w:lang w:val="en-US"/>
        </w:rPr>
        <w:t xml:space="preserve">€515 million in </w:t>
      </w:r>
      <w:r w:rsidRPr="00C74040">
        <w:rPr>
          <w:rFonts w:ascii="Renault Group" w:eastAsia="Renault Group" w:hAnsi="Renault Group" w:cs="Times New Roman"/>
          <w:sz w:val="22"/>
          <w:szCs w:val="22"/>
          <w:lang w:val="en-US"/>
        </w:rPr>
        <w:t>2021. This include</w:t>
      </w:r>
      <w:r w:rsidR="006267D6">
        <w:rPr>
          <w:rFonts w:ascii="Renault Group" w:eastAsia="Renault Group" w:hAnsi="Renault Group" w:cs="Times New Roman"/>
          <w:sz w:val="22"/>
          <w:szCs w:val="22"/>
          <w:lang w:val="en-US"/>
        </w:rPr>
        <w:t>d</w:t>
      </w:r>
      <w:r w:rsidRPr="00C74040">
        <w:rPr>
          <w:rFonts w:ascii="Renault Group" w:eastAsia="Renault Group" w:hAnsi="Renault Group" w:cs="Times New Roman"/>
          <w:sz w:val="22"/>
          <w:szCs w:val="22"/>
          <w:lang w:val="en-US"/>
        </w:rPr>
        <w:t xml:space="preserve"> €</w:t>
      </w:r>
      <w:r w:rsidR="007E4C38" w:rsidRPr="00C74040">
        <w:rPr>
          <w:rFonts w:ascii="Renault Group" w:eastAsia="Renault Group" w:hAnsi="Renault Group" w:cs="Times New Roman"/>
          <w:sz w:val="22"/>
          <w:szCs w:val="22"/>
          <w:lang w:val="en-US"/>
        </w:rPr>
        <w:t>526</w:t>
      </w:r>
      <w:r w:rsidRPr="00C74040">
        <w:rPr>
          <w:rFonts w:ascii="Renault Group" w:eastAsia="Renault Group" w:hAnsi="Renault Group" w:cs="Times New Roman"/>
          <w:sz w:val="22"/>
          <w:szCs w:val="22"/>
          <w:lang w:val="en-US"/>
        </w:rPr>
        <w:t xml:space="preserve"> million related to Nissan's contribution, which</w:t>
      </w:r>
      <w:r w:rsidR="007E4C38" w:rsidRPr="00C74040">
        <w:rPr>
          <w:rFonts w:ascii="Renault Group" w:eastAsia="Renault Group" w:hAnsi="Renault Group" w:cs="Times New Roman"/>
          <w:sz w:val="22"/>
          <w:szCs w:val="22"/>
          <w:lang w:val="en-US"/>
        </w:rPr>
        <w:t xml:space="preserve"> </w:t>
      </w:r>
      <w:r w:rsidR="00A5706D" w:rsidRPr="00C74040">
        <w:rPr>
          <w:rFonts w:ascii="Renault Group" w:eastAsia="Renault Group" w:hAnsi="Renault Group" w:cs="Times New Roman"/>
          <w:sz w:val="22"/>
          <w:szCs w:val="22"/>
          <w:lang w:val="en-US"/>
        </w:rPr>
        <w:t>more than</w:t>
      </w:r>
      <w:r w:rsidR="007E4C38" w:rsidRPr="00C74040">
        <w:rPr>
          <w:rFonts w:ascii="Renault Group" w:eastAsia="Renault Group" w:hAnsi="Renault Group" w:cs="Times New Roman"/>
          <w:sz w:val="22"/>
          <w:szCs w:val="22"/>
          <w:lang w:val="en-US"/>
        </w:rPr>
        <w:t xml:space="preserve"> </w:t>
      </w:r>
      <w:r w:rsidRPr="00C74040">
        <w:rPr>
          <w:rFonts w:ascii="Renault Group" w:eastAsia="Renault Group" w:hAnsi="Renault Group" w:cs="Times New Roman"/>
          <w:sz w:val="22"/>
          <w:szCs w:val="22"/>
          <w:lang w:val="en-US"/>
        </w:rPr>
        <w:t xml:space="preserve">offset </w:t>
      </w:r>
      <w:r w:rsidR="00D4054B">
        <w:rPr>
          <w:rFonts w:ascii="Renault Group" w:eastAsia="Renault Group" w:hAnsi="Renault Group" w:cs="Times New Roman"/>
          <w:sz w:val="22"/>
          <w:szCs w:val="22"/>
          <w:lang w:val="en-US"/>
        </w:rPr>
        <w:t xml:space="preserve">the </w:t>
      </w:r>
      <w:r w:rsidRPr="00C74040">
        <w:rPr>
          <w:rFonts w:ascii="Renault Group" w:eastAsia="Renault Group" w:hAnsi="Renault Group" w:cs="Times New Roman"/>
          <w:sz w:val="22"/>
          <w:szCs w:val="22"/>
          <w:lang w:val="en-US"/>
        </w:rPr>
        <w:t>negative contribution from other associates</w:t>
      </w:r>
      <w:r w:rsidR="00D4054B">
        <w:rPr>
          <w:rFonts w:ascii="Renault Group" w:eastAsia="Renault Group" w:hAnsi="Renault Group" w:cs="Times New Roman"/>
          <w:sz w:val="22"/>
          <w:szCs w:val="22"/>
          <w:lang w:val="en-US"/>
        </w:rPr>
        <w:t xml:space="preserve"> (-</w:t>
      </w:r>
      <w:r w:rsidR="00D4054B" w:rsidRPr="00C74040">
        <w:rPr>
          <w:rFonts w:ascii="Renault Group" w:eastAsia="Renault Group" w:hAnsi="Renault Group" w:cs="Times New Roman"/>
          <w:sz w:val="22"/>
          <w:szCs w:val="22"/>
          <w:lang w:val="en-US"/>
        </w:rPr>
        <w:t>€103 million</w:t>
      </w:r>
      <w:r w:rsidR="00D4054B">
        <w:rPr>
          <w:rFonts w:ascii="Renault Group" w:eastAsia="Renault Group" w:hAnsi="Renault Group" w:cs="Times New Roman"/>
          <w:sz w:val="22"/>
          <w:szCs w:val="22"/>
          <w:lang w:val="en-US"/>
        </w:rPr>
        <w:t>)</w:t>
      </w:r>
      <w:r w:rsidRPr="00C74040">
        <w:rPr>
          <w:rFonts w:ascii="Renault Group" w:eastAsia="Renault Group" w:hAnsi="Renault Group" w:cs="Times New Roman"/>
          <w:sz w:val="22"/>
          <w:szCs w:val="22"/>
          <w:lang w:val="en-US"/>
        </w:rPr>
        <w:t>, notably in connection with the impairment of Renault Nissan Bank shares in Russia.</w:t>
      </w:r>
    </w:p>
    <w:p w14:paraId="44251CD3" w14:textId="1B5271C8" w:rsidR="00D30C27" w:rsidRPr="0005082D" w:rsidRDefault="00D30C27" w:rsidP="00D30C27">
      <w:pPr>
        <w:spacing w:after="360" w:line="240" w:lineRule="auto"/>
        <w:jc w:val="both"/>
        <w:rPr>
          <w:sz w:val="22"/>
          <w:szCs w:val="22"/>
          <w:lang w:val="en"/>
        </w:rPr>
      </w:pPr>
      <w:r w:rsidRPr="004D42C5">
        <w:rPr>
          <w:b/>
          <w:bCs/>
          <w:sz w:val="22"/>
          <w:szCs w:val="22"/>
          <w:lang w:val="en"/>
        </w:rPr>
        <w:t>Current and deferred taxes</w:t>
      </w:r>
      <w:r w:rsidRPr="004D42C5">
        <w:rPr>
          <w:sz w:val="22"/>
          <w:szCs w:val="22"/>
          <w:lang w:val="en"/>
        </w:rPr>
        <w:t xml:space="preserve"> represent</w:t>
      </w:r>
      <w:r>
        <w:rPr>
          <w:sz w:val="22"/>
          <w:szCs w:val="22"/>
          <w:lang w:val="en"/>
        </w:rPr>
        <w:t>ed</w:t>
      </w:r>
      <w:r w:rsidRPr="004D42C5">
        <w:rPr>
          <w:sz w:val="22"/>
          <w:szCs w:val="22"/>
          <w:lang w:val="en"/>
        </w:rPr>
        <w:t xml:space="preserve"> a charge of</w:t>
      </w:r>
      <w:r>
        <w:rPr>
          <w:lang w:val="en"/>
        </w:rPr>
        <w:t xml:space="preserve"> </w:t>
      </w:r>
      <w:r w:rsidR="005F6249" w:rsidRPr="002554C1">
        <w:rPr>
          <w:lang w:val="en"/>
        </w:rPr>
        <w:t>-</w:t>
      </w:r>
      <w:r w:rsidRPr="00AC60A9">
        <w:rPr>
          <w:sz w:val="22"/>
          <w:szCs w:val="24"/>
          <w:lang w:val="en"/>
        </w:rPr>
        <w:t>€</w:t>
      </w:r>
      <w:r w:rsidR="00BE2CAC">
        <w:rPr>
          <w:sz w:val="22"/>
          <w:szCs w:val="22"/>
          <w:lang w:val="en"/>
        </w:rPr>
        <w:t>533</w:t>
      </w:r>
      <w:r w:rsidR="0078214B">
        <w:rPr>
          <w:sz w:val="22"/>
          <w:szCs w:val="22"/>
          <w:lang w:val="en"/>
        </w:rPr>
        <w:t xml:space="preserve"> </w:t>
      </w:r>
      <w:r w:rsidRPr="004D42C5">
        <w:rPr>
          <w:sz w:val="22"/>
          <w:szCs w:val="22"/>
          <w:lang w:val="en"/>
        </w:rPr>
        <w:t xml:space="preserve">million compared to a charge </w:t>
      </w:r>
      <w:r w:rsidRPr="003A7D57">
        <w:rPr>
          <w:sz w:val="22"/>
          <w:szCs w:val="22"/>
          <w:lang w:val="en"/>
        </w:rPr>
        <w:t xml:space="preserve">of </w:t>
      </w:r>
      <w:r w:rsidR="00586A1D">
        <w:rPr>
          <w:sz w:val="22"/>
          <w:szCs w:val="22"/>
          <w:lang w:val="en"/>
        </w:rPr>
        <w:br/>
      </w:r>
      <w:r>
        <w:rPr>
          <w:sz w:val="22"/>
          <w:szCs w:val="22"/>
          <w:lang w:val="en"/>
        </w:rPr>
        <w:t>-</w:t>
      </w:r>
      <w:r w:rsidRPr="003A7D57">
        <w:rPr>
          <w:sz w:val="22"/>
          <w:szCs w:val="22"/>
          <w:lang w:val="en"/>
        </w:rPr>
        <w:t>€</w:t>
      </w:r>
      <w:r w:rsidR="00E05E63">
        <w:rPr>
          <w:sz w:val="22"/>
          <w:szCs w:val="22"/>
          <w:lang w:val="en"/>
        </w:rPr>
        <w:t>571</w:t>
      </w:r>
      <w:r w:rsidRPr="004D42C5">
        <w:rPr>
          <w:sz w:val="22"/>
          <w:szCs w:val="22"/>
          <w:lang w:val="en"/>
        </w:rPr>
        <w:t xml:space="preserve"> million </w:t>
      </w:r>
      <w:r w:rsidRPr="00950406">
        <w:rPr>
          <w:sz w:val="22"/>
          <w:szCs w:val="24"/>
          <w:lang w:val="en"/>
        </w:rPr>
        <w:t>in</w:t>
      </w:r>
      <w:r>
        <w:rPr>
          <w:lang w:val="en"/>
        </w:rPr>
        <w:t xml:space="preserve"> </w:t>
      </w:r>
      <w:r w:rsidRPr="003A7D57">
        <w:rPr>
          <w:sz w:val="22"/>
          <w:szCs w:val="22"/>
          <w:lang w:val="en"/>
        </w:rPr>
        <w:t>2021</w:t>
      </w:r>
      <w:r w:rsidR="006F04B4">
        <w:rPr>
          <w:sz w:val="22"/>
          <w:szCs w:val="22"/>
          <w:lang w:val="en"/>
        </w:rPr>
        <w:t xml:space="preserve">. </w:t>
      </w:r>
      <w:r w:rsidR="00D55B4C" w:rsidRPr="00D55B4C">
        <w:rPr>
          <w:sz w:val="22"/>
          <w:szCs w:val="22"/>
          <w:lang w:val="en"/>
        </w:rPr>
        <w:t>The increase linked to the improvement of the pretax income was more than offset by net year-over-year one-offs.</w:t>
      </w:r>
      <w:r>
        <w:rPr>
          <w:sz w:val="22"/>
          <w:szCs w:val="22"/>
          <w:lang w:val="en"/>
        </w:rPr>
        <w:t xml:space="preserve"> </w:t>
      </w:r>
    </w:p>
    <w:p w14:paraId="5ECFB3C6" w14:textId="6B223139" w:rsidR="00D30C27" w:rsidRPr="000457ED" w:rsidRDefault="00D30C27" w:rsidP="00D033F0">
      <w:pPr>
        <w:spacing w:after="360" w:line="240" w:lineRule="auto"/>
        <w:jc w:val="both"/>
        <w:rPr>
          <w:b/>
          <w:sz w:val="22"/>
          <w:szCs w:val="22"/>
          <w:lang w:val="en"/>
        </w:rPr>
      </w:pPr>
      <w:r w:rsidRPr="00012585">
        <w:rPr>
          <w:b/>
          <w:bCs/>
          <w:sz w:val="22"/>
          <w:szCs w:val="22"/>
          <w:lang w:val="en"/>
        </w:rPr>
        <w:t xml:space="preserve">Net </w:t>
      </w:r>
      <w:r w:rsidRPr="00F15FB5">
        <w:rPr>
          <w:b/>
          <w:bCs/>
          <w:sz w:val="22"/>
          <w:szCs w:val="22"/>
          <w:lang w:val="en"/>
        </w:rPr>
        <w:t>income from continuing operations</w:t>
      </w:r>
      <w:r>
        <w:rPr>
          <w:sz w:val="22"/>
          <w:szCs w:val="22"/>
          <w:lang w:val="en"/>
        </w:rPr>
        <w:t xml:space="preserve"> was €</w:t>
      </w:r>
      <w:r w:rsidR="00FC2625">
        <w:rPr>
          <w:sz w:val="22"/>
          <w:szCs w:val="22"/>
          <w:lang w:val="en"/>
        </w:rPr>
        <w:t>1,620</w:t>
      </w:r>
      <w:r>
        <w:rPr>
          <w:sz w:val="22"/>
          <w:szCs w:val="22"/>
          <w:lang w:val="en"/>
        </w:rPr>
        <w:t xml:space="preserve"> million, up €</w:t>
      </w:r>
      <w:r w:rsidR="00D90F94">
        <w:rPr>
          <w:sz w:val="22"/>
          <w:szCs w:val="22"/>
          <w:lang w:val="en"/>
        </w:rPr>
        <w:t>1,071</w:t>
      </w:r>
      <w:r>
        <w:rPr>
          <w:sz w:val="22"/>
          <w:szCs w:val="22"/>
          <w:lang w:val="en"/>
        </w:rPr>
        <w:t xml:space="preserve"> million compared to 2021.</w:t>
      </w:r>
      <w:r w:rsidR="002313E3" w:rsidRPr="002313E3">
        <w:rPr>
          <w:b/>
          <w:sz w:val="22"/>
          <w:szCs w:val="22"/>
          <w:lang w:val="en"/>
        </w:rPr>
        <w:t xml:space="preserve"> </w:t>
      </w:r>
      <w:r w:rsidR="000457ED">
        <w:rPr>
          <w:b/>
          <w:sz w:val="22"/>
          <w:szCs w:val="22"/>
          <w:lang w:val="en"/>
        </w:rPr>
        <w:br/>
      </w:r>
      <w:r w:rsidR="00CA2361">
        <w:rPr>
          <w:b/>
          <w:sz w:val="22"/>
          <w:szCs w:val="22"/>
          <w:lang w:val="en"/>
        </w:rPr>
        <w:t>N</w:t>
      </w:r>
      <w:r w:rsidR="002313E3" w:rsidRPr="004D42C5">
        <w:rPr>
          <w:b/>
          <w:sz w:val="22"/>
          <w:szCs w:val="22"/>
          <w:lang w:val="en"/>
        </w:rPr>
        <w:t>et income</w:t>
      </w:r>
      <w:r w:rsidR="00CA2361" w:rsidRPr="00CA2361">
        <w:rPr>
          <w:b/>
          <w:bCs/>
          <w:sz w:val="22"/>
          <w:szCs w:val="22"/>
          <w:lang w:val="en"/>
        </w:rPr>
        <w:t xml:space="preserve"> </w:t>
      </w:r>
      <w:r w:rsidR="00CA2361" w:rsidRPr="00F15FB5">
        <w:rPr>
          <w:b/>
          <w:bCs/>
          <w:sz w:val="22"/>
          <w:szCs w:val="22"/>
          <w:lang w:val="en"/>
        </w:rPr>
        <w:t>from continuing operations</w:t>
      </w:r>
      <w:r w:rsidR="002313E3" w:rsidRPr="004D42C5">
        <w:rPr>
          <w:b/>
          <w:sz w:val="22"/>
          <w:szCs w:val="22"/>
          <w:lang w:val="en"/>
        </w:rPr>
        <w:t>, Group share,</w:t>
      </w:r>
      <w:r w:rsidR="002313E3">
        <w:rPr>
          <w:lang w:val="en"/>
        </w:rPr>
        <w:t xml:space="preserve"> </w:t>
      </w:r>
      <w:r w:rsidR="002313E3" w:rsidRPr="004D42C5">
        <w:rPr>
          <w:sz w:val="22"/>
          <w:szCs w:val="22"/>
          <w:lang w:val="en"/>
        </w:rPr>
        <w:t xml:space="preserve">was </w:t>
      </w:r>
      <w:r w:rsidR="002313E3">
        <w:rPr>
          <w:sz w:val="22"/>
          <w:szCs w:val="22"/>
          <w:lang w:val="en"/>
        </w:rPr>
        <w:t>€</w:t>
      </w:r>
      <w:r w:rsidR="00591498">
        <w:rPr>
          <w:sz w:val="22"/>
          <w:szCs w:val="22"/>
          <w:lang w:val="en"/>
        </w:rPr>
        <w:t xml:space="preserve">1,650 </w:t>
      </w:r>
      <w:r w:rsidR="002313E3" w:rsidRPr="004D42C5">
        <w:rPr>
          <w:sz w:val="22"/>
          <w:szCs w:val="22"/>
          <w:lang w:val="en"/>
        </w:rPr>
        <w:t>million (</w:t>
      </w:r>
      <w:r w:rsidR="002313E3">
        <w:rPr>
          <w:sz w:val="22"/>
          <w:szCs w:val="22"/>
          <w:lang w:val="en"/>
        </w:rPr>
        <w:t xml:space="preserve">or </w:t>
      </w:r>
      <w:r w:rsidR="002313E3" w:rsidRPr="008C1970">
        <w:rPr>
          <w:sz w:val="22"/>
          <w:szCs w:val="22"/>
          <w:lang w:val="en"/>
        </w:rPr>
        <w:t>€</w:t>
      </w:r>
      <w:r w:rsidR="007431EF" w:rsidRPr="008C1970">
        <w:rPr>
          <w:sz w:val="22"/>
          <w:szCs w:val="22"/>
          <w:lang w:val="en"/>
        </w:rPr>
        <w:t>6</w:t>
      </w:r>
      <w:r w:rsidR="008C1970" w:rsidRPr="008C1970">
        <w:rPr>
          <w:sz w:val="22"/>
          <w:szCs w:val="22"/>
          <w:lang w:val="en"/>
        </w:rPr>
        <w:t>.07</w:t>
      </w:r>
      <w:r w:rsidR="008C1970">
        <w:rPr>
          <w:sz w:val="22"/>
          <w:szCs w:val="22"/>
          <w:lang w:val="en"/>
        </w:rPr>
        <w:t xml:space="preserve"> </w:t>
      </w:r>
      <w:r w:rsidR="002313E3" w:rsidRPr="008C1970">
        <w:rPr>
          <w:sz w:val="22"/>
          <w:szCs w:val="22"/>
          <w:lang w:val="en"/>
        </w:rPr>
        <w:t>per</w:t>
      </w:r>
      <w:r w:rsidR="002313E3" w:rsidRPr="004D42C5">
        <w:rPr>
          <w:sz w:val="22"/>
          <w:szCs w:val="22"/>
          <w:lang w:val="en"/>
        </w:rPr>
        <w:t xml:space="preserve"> share).</w:t>
      </w:r>
    </w:p>
    <w:p w14:paraId="6130AD10" w14:textId="01986850" w:rsidR="00D30C27" w:rsidRPr="00B157D7" w:rsidRDefault="00D30C27" w:rsidP="00D30C27">
      <w:pPr>
        <w:spacing w:after="360" w:line="240" w:lineRule="auto"/>
        <w:jc w:val="both"/>
        <w:rPr>
          <w:rFonts w:ascii="Renault Group" w:eastAsia="Renault Group" w:hAnsi="Renault Group" w:cs="Times New Roman"/>
          <w:sz w:val="22"/>
          <w:szCs w:val="22"/>
          <w:lang w:val="en-US"/>
        </w:rPr>
      </w:pPr>
      <w:r w:rsidRPr="00012585">
        <w:rPr>
          <w:b/>
          <w:bCs/>
          <w:sz w:val="22"/>
          <w:szCs w:val="22"/>
          <w:lang w:val="en"/>
        </w:rPr>
        <w:t>Net</w:t>
      </w:r>
      <w:r>
        <w:rPr>
          <w:sz w:val="22"/>
          <w:szCs w:val="22"/>
          <w:lang w:val="en"/>
        </w:rPr>
        <w:t xml:space="preserve"> </w:t>
      </w:r>
      <w:r w:rsidRPr="00F15FB5">
        <w:rPr>
          <w:b/>
          <w:bCs/>
          <w:sz w:val="22"/>
          <w:szCs w:val="22"/>
          <w:lang w:val="en"/>
        </w:rPr>
        <w:t xml:space="preserve">income from </w:t>
      </w:r>
      <w:r>
        <w:rPr>
          <w:b/>
          <w:bCs/>
          <w:sz w:val="22"/>
          <w:szCs w:val="22"/>
          <w:lang w:val="en"/>
        </w:rPr>
        <w:t>discontinued operations</w:t>
      </w:r>
      <w:r>
        <w:rPr>
          <w:sz w:val="22"/>
          <w:szCs w:val="22"/>
          <w:lang w:val="en"/>
        </w:rPr>
        <w:t xml:space="preserve"> </w:t>
      </w:r>
      <w:r w:rsidRPr="008042EA">
        <w:rPr>
          <w:sz w:val="22"/>
          <w:szCs w:val="22"/>
          <w:lang w:val="en"/>
        </w:rPr>
        <w:t>amounted to -€</w:t>
      </w:r>
      <w:r w:rsidR="00E034DC">
        <w:rPr>
          <w:sz w:val="22"/>
          <w:szCs w:val="22"/>
          <w:lang w:val="en"/>
        </w:rPr>
        <w:t>2,320</w:t>
      </w:r>
      <w:r w:rsidRPr="008042EA">
        <w:rPr>
          <w:sz w:val="22"/>
          <w:szCs w:val="22"/>
          <w:lang w:val="en"/>
        </w:rPr>
        <w:t xml:space="preserve"> </w:t>
      </w:r>
      <w:r w:rsidR="00870A78">
        <w:rPr>
          <w:sz w:val="22"/>
          <w:szCs w:val="22"/>
          <w:lang w:val="en"/>
        </w:rPr>
        <w:t>m</w:t>
      </w:r>
      <w:r w:rsidRPr="008042EA">
        <w:rPr>
          <w:sz w:val="22"/>
          <w:szCs w:val="22"/>
          <w:lang w:val="en"/>
        </w:rPr>
        <w:t>illion due to</w:t>
      </w:r>
      <w:r w:rsidRPr="002E1433">
        <w:rPr>
          <w:sz w:val="22"/>
          <w:szCs w:val="22"/>
          <w:lang w:val="en"/>
        </w:rPr>
        <w:t xml:space="preserve"> the non-cash adjustment </w:t>
      </w:r>
      <w:r>
        <w:rPr>
          <w:sz w:val="22"/>
          <w:szCs w:val="22"/>
          <w:lang w:val="en"/>
        </w:rPr>
        <w:t>related to the disposals of the Russian industrial activities.</w:t>
      </w:r>
    </w:p>
    <w:p w14:paraId="236C1B80" w14:textId="58A1C101" w:rsidR="00D30C27" w:rsidRDefault="00D30C27" w:rsidP="00D30C27">
      <w:pPr>
        <w:spacing w:after="360" w:line="240" w:lineRule="auto"/>
        <w:jc w:val="both"/>
        <w:rPr>
          <w:sz w:val="22"/>
          <w:szCs w:val="22"/>
          <w:lang w:val="en"/>
        </w:rPr>
      </w:pPr>
      <w:r>
        <w:rPr>
          <w:sz w:val="22"/>
          <w:szCs w:val="22"/>
          <w:lang w:val="en"/>
        </w:rPr>
        <w:t>Thus,</w:t>
      </w:r>
      <w:r w:rsidRPr="004D42C5">
        <w:rPr>
          <w:sz w:val="22"/>
          <w:szCs w:val="22"/>
          <w:lang w:val="en"/>
        </w:rPr>
        <w:t xml:space="preserve"> </w:t>
      </w:r>
      <w:r w:rsidRPr="004D42C5">
        <w:rPr>
          <w:b/>
          <w:sz w:val="22"/>
          <w:szCs w:val="22"/>
          <w:lang w:val="en"/>
        </w:rPr>
        <w:t>net income</w:t>
      </w:r>
      <w:r w:rsidRPr="004D42C5">
        <w:rPr>
          <w:sz w:val="22"/>
          <w:szCs w:val="22"/>
          <w:lang w:val="en"/>
        </w:rPr>
        <w:t xml:space="preserve"> was </w:t>
      </w:r>
      <w:r w:rsidR="009C5F52">
        <w:rPr>
          <w:sz w:val="22"/>
          <w:szCs w:val="22"/>
          <w:lang w:val="en"/>
        </w:rPr>
        <w:t>-</w:t>
      </w:r>
      <w:r>
        <w:rPr>
          <w:sz w:val="22"/>
          <w:szCs w:val="22"/>
          <w:lang w:val="en"/>
        </w:rPr>
        <w:t>€</w:t>
      </w:r>
      <w:r w:rsidR="000F67CC">
        <w:rPr>
          <w:sz w:val="22"/>
          <w:szCs w:val="22"/>
          <w:lang w:val="en"/>
        </w:rPr>
        <w:t>700</w:t>
      </w:r>
      <w:r w:rsidRPr="004D42C5">
        <w:rPr>
          <w:sz w:val="22"/>
          <w:szCs w:val="22"/>
          <w:lang w:val="en"/>
        </w:rPr>
        <w:t xml:space="preserve"> million and </w:t>
      </w:r>
      <w:r w:rsidRPr="004D42C5">
        <w:rPr>
          <w:b/>
          <w:sz w:val="22"/>
          <w:szCs w:val="22"/>
          <w:lang w:val="en"/>
        </w:rPr>
        <w:t>net income, Group share,</w:t>
      </w:r>
      <w:r>
        <w:rPr>
          <w:lang w:val="en"/>
        </w:rPr>
        <w:t xml:space="preserve"> </w:t>
      </w:r>
      <w:r w:rsidRPr="004D42C5">
        <w:rPr>
          <w:sz w:val="22"/>
          <w:szCs w:val="22"/>
          <w:lang w:val="en"/>
        </w:rPr>
        <w:t xml:space="preserve">was </w:t>
      </w:r>
      <w:r w:rsidR="00370C03">
        <w:rPr>
          <w:sz w:val="22"/>
          <w:szCs w:val="22"/>
          <w:lang w:val="en"/>
        </w:rPr>
        <w:t>-</w:t>
      </w:r>
      <w:r>
        <w:rPr>
          <w:sz w:val="22"/>
          <w:szCs w:val="22"/>
          <w:lang w:val="en"/>
        </w:rPr>
        <w:t>€</w:t>
      </w:r>
      <w:r w:rsidR="00854C8A">
        <w:rPr>
          <w:sz w:val="22"/>
          <w:szCs w:val="22"/>
          <w:lang w:val="en"/>
        </w:rPr>
        <w:t>338</w:t>
      </w:r>
      <w:r w:rsidRPr="004D42C5">
        <w:rPr>
          <w:sz w:val="22"/>
          <w:szCs w:val="22"/>
          <w:lang w:val="en"/>
        </w:rPr>
        <w:t xml:space="preserve"> million (</w:t>
      </w:r>
      <w:r>
        <w:rPr>
          <w:sz w:val="22"/>
          <w:szCs w:val="22"/>
          <w:lang w:val="en"/>
        </w:rPr>
        <w:t xml:space="preserve">or </w:t>
      </w:r>
      <w:r w:rsidR="00780E2F">
        <w:rPr>
          <w:sz w:val="22"/>
          <w:szCs w:val="22"/>
          <w:lang w:val="en"/>
        </w:rPr>
        <w:t>-€1.24</w:t>
      </w:r>
      <w:r w:rsidRPr="004D42C5">
        <w:rPr>
          <w:sz w:val="22"/>
          <w:szCs w:val="22"/>
          <w:lang w:val="en"/>
        </w:rPr>
        <w:t xml:space="preserve"> per share).</w:t>
      </w:r>
    </w:p>
    <w:p w14:paraId="0567CB6E" w14:textId="2F87C161" w:rsidR="00D30C27" w:rsidRDefault="00D30C27" w:rsidP="00D30C27">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w:t>
      </w:r>
      <w:r w:rsidRPr="003858B9">
        <w:rPr>
          <w:rFonts w:ascii="Renault Group" w:eastAsia="Renault Group" w:hAnsi="Renault Group" w:cs="Times New Roman"/>
          <w:b/>
          <w:bCs/>
          <w:sz w:val="22"/>
          <w:szCs w:val="22"/>
          <w:lang w:val="en"/>
        </w:rPr>
        <w:t>cash</w:t>
      </w:r>
      <w:r>
        <w:rPr>
          <w:rFonts w:ascii="Renault Group" w:eastAsia="Renault Group" w:hAnsi="Renault Group" w:cs="Times New Roman"/>
          <w:b/>
          <w:bCs/>
          <w:sz w:val="22"/>
          <w:szCs w:val="22"/>
          <w:lang w:val="en"/>
        </w:rPr>
        <w:t xml:space="preserve"> </w:t>
      </w:r>
      <w:r w:rsidRPr="003858B9">
        <w:rPr>
          <w:rFonts w:ascii="Renault Group" w:eastAsia="Renault Group" w:hAnsi="Renault Group" w:cs="Times New Roman"/>
          <w:b/>
          <w:bCs/>
          <w:sz w:val="22"/>
          <w:szCs w:val="22"/>
          <w:lang w:val="en"/>
        </w:rPr>
        <w:t>flow</w:t>
      </w:r>
      <w:r w:rsidRPr="003858B9">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b/>
          <w:bCs/>
          <w:sz w:val="22"/>
          <w:szCs w:val="22"/>
          <w:lang w:val="en"/>
        </w:rPr>
        <w:t>of the Automotive business</w:t>
      </w:r>
      <w:r w:rsidRPr="003858B9">
        <w:rPr>
          <w:rFonts w:ascii="Renault Group" w:eastAsia="Renault Group" w:hAnsi="Renault Group" w:cs="Times New Roman"/>
          <w:sz w:val="22"/>
          <w:szCs w:val="22"/>
          <w:lang w:val="en"/>
        </w:rPr>
        <w:t xml:space="preserve"> reached €</w:t>
      </w:r>
      <w:r w:rsidR="00A90EEB">
        <w:rPr>
          <w:rFonts w:ascii="Renault Group" w:eastAsia="Renault Group" w:hAnsi="Renault Group" w:cs="Times New Roman"/>
          <w:sz w:val="22"/>
          <w:szCs w:val="22"/>
          <w:lang w:val="en"/>
        </w:rPr>
        <w:t>4,</w:t>
      </w:r>
      <w:r w:rsidR="00191BB8">
        <w:rPr>
          <w:rFonts w:ascii="Renault Group" w:eastAsia="Renault Group" w:hAnsi="Renault Group" w:cs="Times New Roman"/>
          <w:sz w:val="22"/>
          <w:szCs w:val="22"/>
          <w:lang w:val="en"/>
        </w:rPr>
        <w:t>8</w:t>
      </w:r>
      <w:r w:rsidR="002E2B0A">
        <w:rPr>
          <w:rFonts w:ascii="Renault Group" w:eastAsia="Renault Group" w:hAnsi="Renault Group" w:cs="Times New Roman"/>
          <w:sz w:val="22"/>
          <w:szCs w:val="22"/>
          <w:lang w:val="en"/>
        </w:rPr>
        <w:t>18</w:t>
      </w:r>
      <w:r>
        <w:rPr>
          <w:rFonts w:ascii="Renault Group" w:eastAsia="Renault Group" w:hAnsi="Renault Group" w:cs="Times New Roman"/>
          <w:sz w:val="22"/>
          <w:szCs w:val="22"/>
          <w:lang w:val="en"/>
        </w:rPr>
        <w:t xml:space="preserve"> </w:t>
      </w:r>
      <w:r w:rsidR="00A90EEB">
        <w:rPr>
          <w:rFonts w:ascii="Renault Group" w:eastAsia="Renault Group" w:hAnsi="Renault Group" w:cs="Times New Roman"/>
          <w:sz w:val="22"/>
          <w:szCs w:val="22"/>
          <w:lang w:val="en"/>
        </w:rPr>
        <w:t>m</w:t>
      </w:r>
      <w:r>
        <w:rPr>
          <w:rFonts w:ascii="Renault Group" w:eastAsia="Renault Group" w:hAnsi="Renault Group" w:cs="Times New Roman"/>
          <w:sz w:val="22"/>
          <w:szCs w:val="22"/>
          <w:lang w:val="en"/>
        </w:rPr>
        <w:t>illio</w:t>
      </w:r>
      <w:r w:rsidRPr="003858B9">
        <w:rPr>
          <w:rFonts w:ascii="Renault Group" w:eastAsia="Renault Group" w:hAnsi="Renault Group" w:cs="Times New Roman"/>
          <w:sz w:val="22"/>
          <w:szCs w:val="22"/>
          <w:lang w:val="en"/>
        </w:rPr>
        <w:t xml:space="preserve">n, </w:t>
      </w:r>
      <w:r w:rsidRPr="00733978">
        <w:rPr>
          <w:rFonts w:ascii="Renault Group" w:eastAsia="Renault Group" w:hAnsi="Renault Group" w:cs="Times New Roman"/>
          <w:sz w:val="22"/>
          <w:szCs w:val="22"/>
          <w:lang w:val="en"/>
        </w:rPr>
        <w:t>up €</w:t>
      </w:r>
      <w:r w:rsidR="00733978" w:rsidRPr="00733978">
        <w:rPr>
          <w:rFonts w:ascii="Renault Group" w:eastAsia="Renault Group" w:hAnsi="Renault Group" w:cs="Times New Roman"/>
          <w:sz w:val="22"/>
          <w:szCs w:val="22"/>
          <w:lang w:val="en"/>
        </w:rPr>
        <w:t>5</w:t>
      </w:r>
      <w:r w:rsidR="00E91F70">
        <w:rPr>
          <w:rFonts w:ascii="Renault Group" w:eastAsia="Renault Group" w:hAnsi="Renault Group" w:cs="Times New Roman"/>
          <w:sz w:val="22"/>
          <w:szCs w:val="22"/>
          <w:lang w:val="en"/>
        </w:rPr>
        <w:t>1</w:t>
      </w:r>
      <w:r w:rsidR="002E2B0A">
        <w:rPr>
          <w:rFonts w:ascii="Renault Group" w:eastAsia="Renault Group" w:hAnsi="Renault Group" w:cs="Times New Roman"/>
          <w:sz w:val="22"/>
          <w:szCs w:val="22"/>
          <w:lang w:val="en"/>
        </w:rPr>
        <w:t>9</w:t>
      </w:r>
      <w:r w:rsidRPr="00733978">
        <w:rPr>
          <w:rFonts w:ascii="Renault Group" w:eastAsia="Renault Group" w:hAnsi="Renault Group" w:cs="Times New Roman"/>
          <w:sz w:val="22"/>
          <w:szCs w:val="22"/>
          <w:lang w:val="en"/>
        </w:rPr>
        <w:t xml:space="preserve"> </w:t>
      </w:r>
      <w:r w:rsidR="00733978">
        <w:rPr>
          <w:rFonts w:ascii="Renault Group" w:eastAsia="Renault Group" w:hAnsi="Renault Group" w:cs="Times New Roman"/>
          <w:sz w:val="22"/>
          <w:szCs w:val="22"/>
          <w:lang w:val="en"/>
        </w:rPr>
        <w:t>m</w:t>
      </w:r>
      <w:r w:rsidRPr="00733978">
        <w:rPr>
          <w:rFonts w:ascii="Renault Group" w:eastAsia="Renault Group" w:hAnsi="Renault Group" w:cs="Times New Roman"/>
          <w:sz w:val="22"/>
          <w:szCs w:val="22"/>
          <w:lang w:val="en"/>
        </w:rPr>
        <w:t>illion</w:t>
      </w:r>
      <w:r w:rsidRPr="003858B9">
        <w:rPr>
          <w:rFonts w:ascii="Renault Group" w:eastAsia="Renault Group" w:hAnsi="Renault Group" w:cs="Times New Roman"/>
          <w:sz w:val="22"/>
          <w:szCs w:val="22"/>
          <w:lang w:val="en"/>
        </w:rPr>
        <w:t xml:space="preserve"> compared to</w:t>
      </w:r>
      <w:r>
        <w:rPr>
          <w:rFonts w:ascii="Renault Group" w:eastAsia="Renault Group" w:hAnsi="Renault Group" w:cs="Times New Roman"/>
          <w:sz w:val="22"/>
          <w:szCs w:val="22"/>
          <w:lang w:val="en"/>
        </w:rPr>
        <w:t xml:space="preserve"> </w:t>
      </w:r>
      <w:r w:rsidRPr="004D5C30">
        <w:rPr>
          <w:rFonts w:ascii="Renault Group" w:eastAsia="Renault Group" w:hAnsi="Renault Group" w:cs="Times New Roman"/>
          <w:sz w:val="22"/>
          <w:szCs w:val="22"/>
          <w:lang w:val="en-US"/>
        </w:rPr>
        <w:t>2021</w:t>
      </w:r>
      <w:r w:rsidR="00085BBC">
        <w:rPr>
          <w:rFonts w:ascii="Renault Group" w:eastAsia="Renault Group" w:hAnsi="Renault Group" w:cs="Times New Roman"/>
          <w:sz w:val="22"/>
          <w:szCs w:val="22"/>
          <w:lang w:val="en-US"/>
        </w:rPr>
        <w:t xml:space="preserve"> </w:t>
      </w:r>
      <w:r w:rsidR="002B2256">
        <w:rPr>
          <w:rFonts w:ascii="Renault Group" w:eastAsia="Renault Group" w:hAnsi="Renault Group" w:cs="Times New Roman"/>
          <w:sz w:val="22"/>
          <w:szCs w:val="22"/>
          <w:lang w:val="en"/>
        </w:rPr>
        <w:t>(</w:t>
      </w:r>
      <w:r w:rsidR="002B2256" w:rsidRPr="003858B9">
        <w:rPr>
          <w:rFonts w:ascii="Renault Group" w:eastAsia="Renault Group" w:hAnsi="Renault Group" w:cs="Times New Roman"/>
          <w:sz w:val="22"/>
          <w:szCs w:val="22"/>
          <w:lang w:val="en"/>
        </w:rPr>
        <w:t>includ</w:t>
      </w:r>
      <w:r w:rsidR="002B2256">
        <w:rPr>
          <w:rFonts w:ascii="Renault Group" w:eastAsia="Renault Group" w:hAnsi="Renault Group" w:cs="Times New Roman"/>
          <w:sz w:val="22"/>
          <w:szCs w:val="22"/>
          <w:lang w:val="en"/>
        </w:rPr>
        <w:t>ing</w:t>
      </w:r>
      <w:r w:rsidR="002B2256" w:rsidRPr="003858B9">
        <w:rPr>
          <w:rFonts w:ascii="Renault Group" w:eastAsia="Renault Group" w:hAnsi="Renault Group" w:cs="Times New Roman"/>
          <w:sz w:val="22"/>
          <w:szCs w:val="22"/>
          <w:lang w:val="en"/>
        </w:rPr>
        <w:t xml:space="preserve"> €</w:t>
      </w:r>
      <w:r w:rsidR="002B2256">
        <w:rPr>
          <w:rFonts w:ascii="Renault Group" w:eastAsia="Renault Group" w:hAnsi="Renault Group" w:cs="Times New Roman"/>
          <w:sz w:val="22"/>
          <w:szCs w:val="22"/>
          <w:lang w:val="en"/>
        </w:rPr>
        <w:t>800 million</w:t>
      </w:r>
      <w:r w:rsidR="002B2256" w:rsidRPr="003858B9">
        <w:rPr>
          <w:rFonts w:ascii="Renault Group" w:eastAsia="Renault Group" w:hAnsi="Renault Group" w:cs="Times New Roman"/>
          <w:sz w:val="22"/>
          <w:szCs w:val="22"/>
          <w:lang w:val="en"/>
        </w:rPr>
        <w:t xml:space="preserve"> of </w:t>
      </w:r>
      <w:r w:rsidR="002B2256">
        <w:rPr>
          <w:rFonts w:ascii="Renault Group" w:eastAsia="Renault Group" w:hAnsi="Renault Group" w:cs="Times New Roman"/>
          <w:sz w:val="22"/>
          <w:szCs w:val="22"/>
          <w:lang w:val="en"/>
        </w:rPr>
        <w:t>Mobilize Financial Services</w:t>
      </w:r>
      <w:r w:rsidR="002B2256" w:rsidRPr="003858B9">
        <w:rPr>
          <w:rFonts w:ascii="Renault Group" w:eastAsia="Renault Group" w:hAnsi="Renault Group" w:cs="Times New Roman"/>
          <w:sz w:val="22"/>
          <w:szCs w:val="22"/>
          <w:lang w:val="en"/>
        </w:rPr>
        <w:t xml:space="preserve"> dividend</w:t>
      </w:r>
      <w:r w:rsidR="002B2256">
        <w:rPr>
          <w:rFonts w:ascii="Renault Group" w:eastAsia="Renault Group" w:hAnsi="Renault Group" w:cs="Times New Roman"/>
          <w:sz w:val="22"/>
          <w:szCs w:val="22"/>
          <w:lang w:val="en"/>
        </w:rPr>
        <w:t xml:space="preserve"> versus €1,000 million in 2021)</w:t>
      </w:r>
      <w:r w:rsidRPr="004D5C30">
        <w:rPr>
          <w:rFonts w:ascii="Renault Group" w:eastAsia="Renault Group" w:hAnsi="Renault Group" w:cs="Times New Roman"/>
          <w:sz w:val="22"/>
          <w:szCs w:val="22"/>
          <w:lang w:val="en-US"/>
        </w:rPr>
        <w:t>.</w:t>
      </w:r>
      <w:r>
        <w:rPr>
          <w:rFonts w:ascii="Renault Group" w:eastAsia="Renault Group" w:hAnsi="Renault Group" w:cs="Times New Roman"/>
          <w:sz w:val="22"/>
          <w:szCs w:val="22"/>
          <w:lang w:val="en-US"/>
        </w:rPr>
        <w:t xml:space="preserve"> </w:t>
      </w:r>
      <w:r w:rsidRPr="004D5C30">
        <w:rPr>
          <w:rFonts w:ascii="Renault Group" w:eastAsia="Renault Group" w:hAnsi="Renault Group" w:cs="Times New Roman"/>
          <w:sz w:val="22"/>
          <w:szCs w:val="22"/>
          <w:lang w:val="en-US"/>
        </w:rPr>
        <w:t xml:space="preserve">This cash </w:t>
      </w:r>
      <w:r w:rsidRPr="004772B8">
        <w:rPr>
          <w:rFonts w:ascii="Renault Group" w:eastAsia="Renault Group" w:hAnsi="Renault Group" w:cs="Times New Roman"/>
          <w:sz w:val="22"/>
          <w:szCs w:val="22"/>
          <w:lang w:val="en-US"/>
        </w:rPr>
        <w:t xml:space="preserve">flow largely </w:t>
      </w:r>
      <w:r w:rsidRPr="004772B8">
        <w:rPr>
          <w:rFonts w:ascii="Renault Group" w:eastAsia="Renault Group" w:hAnsi="Renault Group" w:cs="Times New Roman"/>
          <w:sz w:val="22"/>
          <w:szCs w:val="22"/>
          <w:lang w:val="en"/>
        </w:rPr>
        <w:t>covered the tangible</w:t>
      </w:r>
      <w:r w:rsidR="00822B61">
        <w:rPr>
          <w:rFonts w:ascii="Renault Group" w:eastAsia="Renault Group" w:hAnsi="Renault Group" w:cs="Times New Roman"/>
          <w:sz w:val="22"/>
          <w:szCs w:val="22"/>
          <w:lang w:val="en"/>
        </w:rPr>
        <w:t xml:space="preserve"> </w:t>
      </w:r>
      <w:r w:rsidR="006903B6">
        <w:rPr>
          <w:rFonts w:ascii="Renault Group" w:eastAsia="Renault Group" w:hAnsi="Renault Group" w:cs="Times New Roman"/>
          <w:sz w:val="22"/>
          <w:szCs w:val="22"/>
          <w:lang w:val="en"/>
        </w:rPr>
        <w:t>and</w:t>
      </w:r>
      <w:r w:rsidR="00822B61">
        <w:rPr>
          <w:rFonts w:ascii="Renault Group" w:eastAsia="Renault Group" w:hAnsi="Renault Group" w:cs="Times New Roman"/>
          <w:sz w:val="22"/>
          <w:szCs w:val="22"/>
          <w:lang w:val="en"/>
        </w:rPr>
        <w:t xml:space="preserve"> </w:t>
      </w:r>
      <w:r w:rsidRPr="004772B8">
        <w:rPr>
          <w:rFonts w:ascii="Renault Group" w:eastAsia="Renault Group" w:hAnsi="Renault Group" w:cs="Times New Roman"/>
          <w:sz w:val="22"/>
          <w:szCs w:val="22"/>
          <w:lang w:val="en"/>
        </w:rPr>
        <w:t>intangible investments before asset disposals whic</w:t>
      </w:r>
      <w:r>
        <w:rPr>
          <w:rFonts w:ascii="Renault Group" w:eastAsia="Renault Group" w:hAnsi="Renault Group" w:cs="Times New Roman"/>
          <w:sz w:val="22"/>
          <w:szCs w:val="22"/>
          <w:lang w:val="en"/>
        </w:rPr>
        <w:t>h</w:t>
      </w:r>
      <w:r w:rsidRPr="004D5C30">
        <w:rPr>
          <w:rFonts w:ascii="Renault Group" w:eastAsia="Renault Group" w:hAnsi="Renault Group" w:cs="Times New Roman"/>
          <w:sz w:val="22"/>
          <w:szCs w:val="22"/>
          <w:lang w:val="en-US"/>
        </w:rPr>
        <w:t xml:space="preserve"> amounted to €</w:t>
      </w:r>
      <w:r w:rsidR="006944FB">
        <w:rPr>
          <w:rFonts w:ascii="Renault Group" w:eastAsia="Renault Group" w:hAnsi="Renault Group" w:cs="Times New Roman"/>
          <w:sz w:val="22"/>
          <w:szCs w:val="22"/>
          <w:lang w:val="en-US"/>
        </w:rPr>
        <w:t xml:space="preserve">2.5 </w:t>
      </w:r>
      <w:r w:rsidRPr="004D5C30">
        <w:rPr>
          <w:rFonts w:ascii="Renault Group" w:eastAsia="Renault Group" w:hAnsi="Renault Group" w:cs="Times New Roman"/>
          <w:sz w:val="22"/>
          <w:szCs w:val="22"/>
          <w:lang w:val="en-US"/>
        </w:rPr>
        <w:t>b</w:t>
      </w:r>
      <w:r>
        <w:rPr>
          <w:rFonts w:ascii="Renault Group" w:eastAsia="Renault Group" w:hAnsi="Renault Group" w:cs="Times New Roman"/>
          <w:sz w:val="22"/>
          <w:szCs w:val="22"/>
          <w:lang w:val="en-US"/>
        </w:rPr>
        <w:t>illio</w:t>
      </w:r>
      <w:r w:rsidRPr="004D5C30">
        <w:rPr>
          <w:rFonts w:ascii="Renault Group" w:eastAsia="Renault Group" w:hAnsi="Renault Group" w:cs="Times New Roman"/>
          <w:sz w:val="22"/>
          <w:szCs w:val="22"/>
          <w:lang w:val="en-US"/>
        </w:rPr>
        <w:t>n</w:t>
      </w:r>
      <w:r w:rsidR="002A66CA">
        <w:rPr>
          <w:rFonts w:ascii="Renault Group" w:eastAsia="Renault Group" w:hAnsi="Renault Group" w:cs="Times New Roman"/>
          <w:sz w:val="22"/>
          <w:szCs w:val="22"/>
          <w:lang w:val="en-US"/>
        </w:rPr>
        <w:t xml:space="preserve"> </w:t>
      </w:r>
      <w:r w:rsidRPr="004D5C30">
        <w:rPr>
          <w:rFonts w:ascii="Renault Group" w:eastAsia="Renault Group" w:hAnsi="Renault Group" w:cs="Times New Roman"/>
          <w:sz w:val="22"/>
          <w:szCs w:val="22"/>
          <w:lang w:val="en-US"/>
        </w:rPr>
        <w:t>(€</w:t>
      </w:r>
      <w:r w:rsidR="006944FB">
        <w:rPr>
          <w:rFonts w:ascii="Renault Group" w:eastAsia="Renault Group" w:hAnsi="Renault Group" w:cs="Times New Roman"/>
          <w:sz w:val="22"/>
          <w:szCs w:val="22"/>
          <w:lang w:val="en-US"/>
        </w:rPr>
        <w:t>2.1</w:t>
      </w:r>
      <w:r>
        <w:rPr>
          <w:rFonts w:ascii="Renault Group" w:eastAsia="Renault Group" w:hAnsi="Renault Group" w:cs="Times New Roman"/>
          <w:sz w:val="22"/>
          <w:szCs w:val="22"/>
          <w:lang w:val="en-US"/>
        </w:rPr>
        <w:t xml:space="preserve"> </w:t>
      </w:r>
      <w:r w:rsidRPr="004D5C30">
        <w:rPr>
          <w:rFonts w:ascii="Renault Group" w:eastAsia="Renault Group" w:hAnsi="Renault Group" w:cs="Times New Roman"/>
          <w:sz w:val="22"/>
          <w:szCs w:val="22"/>
          <w:lang w:val="en-US"/>
        </w:rPr>
        <w:t>b</w:t>
      </w:r>
      <w:r>
        <w:rPr>
          <w:rFonts w:ascii="Renault Group" w:eastAsia="Renault Group" w:hAnsi="Renault Group" w:cs="Times New Roman"/>
          <w:sz w:val="22"/>
          <w:szCs w:val="22"/>
          <w:lang w:val="en-US"/>
        </w:rPr>
        <w:t>illio</w:t>
      </w:r>
      <w:r w:rsidRPr="004D5C30">
        <w:rPr>
          <w:rFonts w:ascii="Renault Group" w:eastAsia="Renault Group" w:hAnsi="Renault Group" w:cs="Times New Roman"/>
          <w:sz w:val="22"/>
          <w:szCs w:val="22"/>
          <w:lang w:val="en-US"/>
        </w:rPr>
        <w:t>n net of disposals)</w:t>
      </w:r>
      <w:r w:rsidR="006903B6" w:rsidRPr="006903B6">
        <w:rPr>
          <w:rFonts w:ascii="Renault Group" w:eastAsia="Renault Group" w:hAnsi="Renault Group" w:cs="Times New Roman"/>
          <w:sz w:val="22"/>
          <w:szCs w:val="22"/>
          <w:lang w:val="en"/>
        </w:rPr>
        <w:t xml:space="preserve"> </w:t>
      </w:r>
      <w:r w:rsidR="006903B6">
        <w:rPr>
          <w:rFonts w:ascii="Renault Group" w:eastAsia="Renault Group" w:hAnsi="Renault Group" w:cs="Times New Roman"/>
          <w:sz w:val="22"/>
          <w:szCs w:val="22"/>
          <w:lang w:val="en"/>
        </w:rPr>
        <w:t>and the r</w:t>
      </w:r>
      <w:r w:rsidR="006903B6" w:rsidRPr="003858B9">
        <w:rPr>
          <w:rFonts w:ascii="Renault Group" w:eastAsia="Renault Group" w:hAnsi="Renault Group" w:cs="Times New Roman"/>
          <w:sz w:val="22"/>
          <w:szCs w:val="22"/>
          <w:lang w:val="en"/>
        </w:rPr>
        <w:t xml:space="preserve">estructuring </w:t>
      </w:r>
      <w:r w:rsidR="006903B6" w:rsidRPr="00750378">
        <w:rPr>
          <w:rFonts w:ascii="Renault Group" w:eastAsia="Renault Group" w:hAnsi="Renault Group" w:cs="Times New Roman"/>
          <w:sz w:val="22"/>
          <w:szCs w:val="22"/>
          <w:lang w:val="en"/>
        </w:rPr>
        <w:t>expenses (€590</w:t>
      </w:r>
      <w:r w:rsidR="006903B6">
        <w:rPr>
          <w:rFonts w:ascii="Renault Group" w:eastAsia="Renault Group" w:hAnsi="Renault Group" w:cs="Times New Roman"/>
          <w:sz w:val="22"/>
          <w:szCs w:val="22"/>
          <w:lang w:val="en"/>
        </w:rPr>
        <w:t xml:space="preserve"> million)</w:t>
      </w:r>
      <w:r w:rsidRPr="004D5C30">
        <w:rPr>
          <w:rFonts w:ascii="Renault Group" w:eastAsia="Renault Group" w:hAnsi="Renault Group" w:cs="Times New Roman"/>
          <w:sz w:val="22"/>
          <w:szCs w:val="22"/>
          <w:lang w:val="en-US"/>
        </w:rPr>
        <w:t>.</w:t>
      </w:r>
    </w:p>
    <w:p w14:paraId="79F3EAD6" w14:textId="37C61B44" w:rsidR="00D30C27" w:rsidRPr="004D5C30" w:rsidRDefault="00D30C27" w:rsidP="00D30C27">
      <w:pPr>
        <w:spacing w:after="360" w:line="240" w:lineRule="auto"/>
        <w:jc w:val="both"/>
        <w:rPr>
          <w:rFonts w:ascii="Renault Group" w:eastAsia="Renault Group" w:hAnsi="Renault Group" w:cs="Times New Roman"/>
          <w:sz w:val="22"/>
          <w:szCs w:val="22"/>
          <w:lang w:val="en-US"/>
        </w:rPr>
      </w:pPr>
      <w:r w:rsidRPr="004D5C30">
        <w:rPr>
          <w:rFonts w:ascii="Renault Group" w:eastAsia="Renault Group" w:hAnsi="Renault Group" w:cs="Times New Roman"/>
          <w:sz w:val="22"/>
          <w:szCs w:val="22"/>
          <w:lang w:val="en-US"/>
        </w:rPr>
        <w:t xml:space="preserve">Excluding the impact of </w:t>
      </w:r>
      <w:r>
        <w:rPr>
          <w:rFonts w:ascii="Renault Group" w:eastAsia="Renault Group" w:hAnsi="Renault Group" w:cs="Times New Roman"/>
          <w:sz w:val="22"/>
          <w:szCs w:val="22"/>
          <w:lang w:val="en-US"/>
        </w:rPr>
        <w:t xml:space="preserve">asset </w:t>
      </w:r>
      <w:r w:rsidRPr="004D5C30">
        <w:rPr>
          <w:rFonts w:ascii="Renault Group" w:eastAsia="Renault Group" w:hAnsi="Renault Group" w:cs="Times New Roman"/>
          <w:sz w:val="22"/>
          <w:szCs w:val="22"/>
          <w:lang w:val="en-US"/>
        </w:rPr>
        <w:t xml:space="preserve">disposals, the Group's net CAPEX and R&amp;D </w:t>
      </w:r>
      <w:r w:rsidR="00FA12F1" w:rsidRPr="009D0CBE">
        <w:rPr>
          <w:rFonts w:ascii="Renault Group" w:eastAsia="Renault Group" w:hAnsi="Renault Group" w:cs="Times New Roman"/>
          <w:sz w:val="22"/>
          <w:szCs w:val="22"/>
          <w:lang w:val="en-US"/>
        </w:rPr>
        <w:t xml:space="preserve">amounted to </w:t>
      </w:r>
      <w:r w:rsidR="002A66CA">
        <w:rPr>
          <w:rFonts w:ascii="Renault Group" w:eastAsia="Renault Group" w:hAnsi="Renault Group" w:cs="Times New Roman"/>
          <w:sz w:val="22"/>
          <w:szCs w:val="22"/>
          <w:lang w:val="en-US"/>
        </w:rPr>
        <w:t>€</w:t>
      </w:r>
      <w:r w:rsidR="004C333E" w:rsidRPr="009D0CBE">
        <w:rPr>
          <w:rFonts w:ascii="Renault Group" w:eastAsia="Renault Group" w:hAnsi="Renault Group" w:cs="Times New Roman"/>
          <w:sz w:val="22"/>
          <w:szCs w:val="22"/>
          <w:lang w:val="en-US"/>
        </w:rPr>
        <w:t>3,</w:t>
      </w:r>
      <w:r w:rsidR="00B31D12" w:rsidRPr="009D0CBE">
        <w:rPr>
          <w:rFonts w:ascii="Renault Group" w:eastAsia="Renault Group" w:hAnsi="Renault Group" w:cs="Times New Roman"/>
          <w:sz w:val="22"/>
          <w:szCs w:val="22"/>
          <w:lang w:val="en-US"/>
        </w:rPr>
        <w:t>451</w:t>
      </w:r>
      <w:r w:rsidR="004C333E" w:rsidRPr="009D0CBE">
        <w:rPr>
          <w:rFonts w:ascii="Renault Group" w:eastAsia="Renault Group" w:hAnsi="Renault Group" w:cs="Times New Roman"/>
          <w:sz w:val="22"/>
          <w:szCs w:val="22"/>
          <w:lang w:val="en-US"/>
        </w:rPr>
        <w:t xml:space="preserve"> million</w:t>
      </w:r>
      <w:r w:rsidR="002A66CA">
        <w:rPr>
          <w:rFonts w:ascii="Renault Group" w:eastAsia="Renault Group" w:hAnsi="Renault Group" w:cs="Times New Roman"/>
          <w:sz w:val="22"/>
          <w:szCs w:val="22"/>
          <w:lang w:val="en-US"/>
        </w:rPr>
        <w:t xml:space="preserve"> </w:t>
      </w:r>
      <w:r w:rsidR="00EB63EF" w:rsidRPr="009D0CBE">
        <w:rPr>
          <w:rFonts w:ascii="Renault Group" w:eastAsia="Renault Group" w:hAnsi="Renault Group" w:cs="Times New Roman"/>
          <w:sz w:val="22"/>
          <w:szCs w:val="22"/>
          <w:lang w:val="en-US"/>
        </w:rPr>
        <w:t>in 2022</w:t>
      </w:r>
      <w:r w:rsidR="00596AB4" w:rsidRPr="009D0CBE">
        <w:rPr>
          <w:rFonts w:ascii="Renault Group" w:eastAsia="Renault Group" w:hAnsi="Renault Group" w:cs="Times New Roman"/>
          <w:sz w:val="22"/>
          <w:szCs w:val="22"/>
          <w:lang w:val="en-US"/>
        </w:rPr>
        <w:t xml:space="preserve"> (</w:t>
      </w:r>
      <w:r w:rsidR="00934A0A" w:rsidRPr="009D0CBE">
        <w:rPr>
          <w:rFonts w:ascii="Renault Group" w:eastAsia="Renault Group" w:hAnsi="Renault Group" w:cs="Times New Roman"/>
          <w:sz w:val="22"/>
          <w:szCs w:val="22"/>
          <w:lang w:val="en-US"/>
        </w:rPr>
        <w:t>7.4</w:t>
      </w:r>
      <w:r w:rsidRPr="009D0CBE">
        <w:rPr>
          <w:rFonts w:ascii="Renault Group" w:eastAsia="Renault Group" w:hAnsi="Renault Group" w:cs="Times New Roman"/>
          <w:sz w:val="22"/>
          <w:szCs w:val="22"/>
          <w:lang w:val="en-US"/>
        </w:rPr>
        <w:t>% of revenue</w:t>
      </w:r>
      <w:r w:rsidR="00596AB4" w:rsidRPr="009D0CBE">
        <w:rPr>
          <w:rFonts w:ascii="Renault Group" w:eastAsia="Renault Group" w:hAnsi="Renault Group" w:cs="Times New Roman"/>
          <w:sz w:val="22"/>
          <w:szCs w:val="22"/>
          <w:lang w:val="en-US"/>
        </w:rPr>
        <w:t>) stable</w:t>
      </w:r>
      <w:r w:rsidRPr="009D0CBE">
        <w:rPr>
          <w:rFonts w:ascii="Renault Group" w:eastAsia="Renault Group" w:hAnsi="Renault Group" w:cs="Times New Roman"/>
          <w:sz w:val="22"/>
          <w:szCs w:val="22"/>
          <w:lang w:val="en-US"/>
        </w:rPr>
        <w:t xml:space="preserve"> compared to </w:t>
      </w:r>
      <w:r w:rsidR="00E97B18" w:rsidRPr="009D0CBE">
        <w:rPr>
          <w:rFonts w:ascii="Renault Group" w:eastAsia="Renault Group" w:hAnsi="Renault Group" w:cs="Times New Roman"/>
          <w:sz w:val="22"/>
          <w:szCs w:val="22"/>
          <w:lang w:val="en-US"/>
        </w:rPr>
        <w:t>2021 (</w:t>
      </w:r>
      <w:r w:rsidR="002A66CA">
        <w:rPr>
          <w:rFonts w:ascii="Renault Group" w:eastAsia="Renault Group" w:hAnsi="Renault Group" w:cs="Times New Roman"/>
          <w:sz w:val="22"/>
          <w:szCs w:val="22"/>
          <w:lang w:val="en-US"/>
        </w:rPr>
        <w:t>€</w:t>
      </w:r>
      <w:r w:rsidR="00E97B18" w:rsidRPr="009D0CBE">
        <w:rPr>
          <w:rFonts w:ascii="Renault Group" w:eastAsia="Renault Group" w:hAnsi="Renault Group" w:cs="Times New Roman"/>
          <w:sz w:val="22"/>
          <w:szCs w:val="22"/>
          <w:lang w:val="en-US"/>
        </w:rPr>
        <w:t>3,</w:t>
      </w:r>
      <w:r w:rsidR="00B66E83" w:rsidRPr="009D0CBE">
        <w:rPr>
          <w:rFonts w:ascii="Renault Group" w:eastAsia="Renault Group" w:hAnsi="Renault Group" w:cs="Times New Roman"/>
          <w:sz w:val="22"/>
          <w:szCs w:val="22"/>
          <w:lang w:val="en-US"/>
        </w:rPr>
        <w:t>57</w:t>
      </w:r>
      <w:r w:rsidR="00D5595F" w:rsidRPr="009D0CBE">
        <w:rPr>
          <w:rFonts w:ascii="Renault Group" w:eastAsia="Renault Group" w:hAnsi="Renault Group" w:cs="Times New Roman"/>
          <w:sz w:val="22"/>
          <w:szCs w:val="22"/>
          <w:lang w:val="en-US"/>
        </w:rPr>
        <w:t>9</w:t>
      </w:r>
      <w:r w:rsidR="00E97B18" w:rsidRPr="009D0CBE">
        <w:rPr>
          <w:rFonts w:ascii="Renault Group" w:eastAsia="Renault Group" w:hAnsi="Renault Group" w:cs="Times New Roman"/>
          <w:sz w:val="22"/>
          <w:szCs w:val="22"/>
          <w:lang w:val="en-US"/>
        </w:rPr>
        <w:t xml:space="preserve"> million and </w:t>
      </w:r>
      <w:r w:rsidR="00A755D6" w:rsidRPr="009D0CBE">
        <w:rPr>
          <w:rFonts w:ascii="Renault Group" w:eastAsia="Renault Group" w:hAnsi="Renault Group" w:cs="Times New Roman"/>
          <w:sz w:val="22"/>
          <w:szCs w:val="22"/>
          <w:lang w:val="en-US"/>
        </w:rPr>
        <w:t>8.6</w:t>
      </w:r>
      <w:r w:rsidRPr="009D0CBE">
        <w:rPr>
          <w:rFonts w:ascii="Renault Group" w:eastAsia="Renault Group" w:hAnsi="Renault Group" w:cs="Times New Roman"/>
          <w:sz w:val="22"/>
          <w:szCs w:val="22"/>
          <w:lang w:val="en-US"/>
        </w:rPr>
        <w:t>%</w:t>
      </w:r>
      <w:r w:rsidR="002460DC">
        <w:rPr>
          <w:rFonts w:ascii="Renault Group" w:eastAsia="Renault Group" w:hAnsi="Renault Group" w:cs="Times New Roman"/>
          <w:sz w:val="22"/>
          <w:szCs w:val="22"/>
          <w:lang w:val="en-US"/>
        </w:rPr>
        <w:t xml:space="preserve"> of revenue</w:t>
      </w:r>
      <w:r w:rsidR="00DD4BCB" w:rsidRPr="009D0CBE">
        <w:rPr>
          <w:rFonts w:ascii="Renault Group" w:eastAsia="Renault Group" w:hAnsi="Renault Group" w:cs="Times New Roman"/>
          <w:sz w:val="22"/>
          <w:szCs w:val="22"/>
          <w:lang w:val="en-US"/>
        </w:rPr>
        <w:t>)</w:t>
      </w:r>
      <w:r w:rsidR="00491D1F" w:rsidRPr="009D0CBE">
        <w:rPr>
          <w:rFonts w:ascii="Renault Group" w:eastAsia="Renault Group" w:hAnsi="Renault Group" w:cs="Times New Roman"/>
          <w:sz w:val="22"/>
          <w:szCs w:val="22"/>
          <w:lang w:val="en-US"/>
        </w:rPr>
        <w:t>.</w:t>
      </w:r>
      <w:r w:rsidRPr="004D5C30">
        <w:rPr>
          <w:rFonts w:ascii="Renault Group" w:eastAsia="Renault Group" w:hAnsi="Renault Group" w:cs="Times New Roman"/>
          <w:sz w:val="22"/>
          <w:szCs w:val="22"/>
          <w:lang w:val="en-US"/>
        </w:rPr>
        <w:t xml:space="preserve"> </w:t>
      </w:r>
    </w:p>
    <w:p w14:paraId="1D851692" w14:textId="17810C10" w:rsidR="00D30C27" w:rsidRDefault="00D30C27" w:rsidP="00D30C27">
      <w:pPr>
        <w:spacing w:after="360" w:line="240" w:lineRule="auto"/>
        <w:jc w:val="both"/>
        <w:rPr>
          <w:sz w:val="22"/>
          <w:szCs w:val="22"/>
          <w:lang w:val="en"/>
        </w:rPr>
      </w:pPr>
      <w:r w:rsidRPr="004C5A6E">
        <w:rPr>
          <w:b/>
          <w:bCs/>
          <w:sz w:val="22"/>
          <w:szCs w:val="22"/>
          <w:lang w:val="en"/>
        </w:rPr>
        <w:t>Automotive operat</w:t>
      </w:r>
      <w:r>
        <w:rPr>
          <w:b/>
          <w:bCs/>
          <w:sz w:val="22"/>
          <w:szCs w:val="22"/>
          <w:lang w:val="en"/>
        </w:rPr>
        <w:t>ional</w:t>
      </w:r>
      <w:r>
        <w:rPr>
          <w:lang w:val="en"/>
        </w:rPr>
        <w:t xml:space="preserve"> </w:t>
      </w:r>
      <w:r w:rsidRPr="00A76C98">
        <w:rPr>
          <w:b/>
          <w:bCs/>
          <w:sz w:val="22"/>
          <w:szCs w:val="22"/>
          <w:lang w:val="en"/>
        </w:rPr>
        <w:t>free cash</w:t>
      </w:r>
      <w:r>
        <w:rPr>
          <w:b/>
          <w:bCs/>
          <w:sz w:val="22"/>
          <w:szCs w:val="22"/>
          <w:lang w:val="en"/>
        </w:rPr>
        <w:t xml:space="preserve"> </w:t>
      </w:r>
      <w:r w:rsidRPr="00A76C98">
        <w:rPr>
          <w:b/>
          <w:bCs/>
          <w:sz w:val="22"/>
          <w:szCs w:val="22"/>
          <w:lang w:val="en"/>
        </w:rPr>
        <w:t>flow</w:t>
      </w:r>
      <w:r w:rsidRPr="004C5A6E">
        <w:rPr>
          <w:rStyle w:val="Appelnotedebasdep"/>
          <w:b/>
          <w:bCs/>
          <w:sz w:val="22"/>
          <w:szCs w:val="22"/>
          <w:lang w:val="en"/>
        </w:rPr>
        <w:footnoteReference w:id="8"/>
      </w:r>
      <w:r w:rsidRPr="004D42C5">
        <w:rPr>
          <w:sz w:val="22"/>
          <w:szCs w:val="22"/>
          <w:lang w:val="en"/>
        </w:rPr>
        <w:t xml:space="preserve"> was positive at </w:t>
      </w:r>
      <w:r>
        <w:rPr>
          <w:sz w:val="22"/>
          <w:szCs w:val="22"/>
          <w:lang w:val="en"/>
        </w:rPr>
        <w:t>+</w:t>
      </w:r>
      <w:r w:rsidR="001F7B5D" w:rsidRPr="003858B9">
        <w:rPr>
          <w:rFonts w:ascii="Renault Group" w:eastAsia="Renault Group" w:hAnsi="Renault Group" w:cs="Times New Roman"/>
          <w:sz w:val="22"/>
          <w:szCs w:val="22"/>
          <w:lang w:val="en"/>
        </w:rPr>
        <w:t>€</w:t>
      </w:r>
      <w:r w:rsidR="00C569C7">
        <w:rPr>
          <w:sz w:val="22"/>
          <w:szCs w:val="24"/>
          <w:lang w:val="en"/>
        </w:rPr>
        <w:t>2,</w:t>
      </w:r>
      <w:r w:rsidR="00F15064">
        <w:rPr>
          <w:sz w:val="22"/>
          <w:szCs w:val="24"/>
          <w:lang w:val="en"/>
        </w:rPr>
        <w:t>1</w:t>
      </w:r>
      <w:r w:rsidR="00763527">
        <w:rPr>
          <w:sz w:val="22"/>
          <w:szCs w:val="24"/>
          <w:lang w:val="en"/>
        </w:rPr>
        <w:t>19</w:t>
      </w:r>
      <w:r w:rsidRPr="004D42C5">
        <w:rPr>
          <w:sz w:val="22"/>
          <w:szCs w:val="22"/>
          <w:lang w:val="en"/>
        </w:rPr>
        <w:t xml:space="preserve"> million</w:t>
      </w:r>
      <w:r>
        <w:rPr>
          <w:sz w:val="22"/>
          <w:szCs w:val="22"/>
          <w:lang w:val="en"/>
        </w:rPr>
        <w:t xml:space="preserve"> taking into account</w:t>
      </w:r>
      <w:r w:rsidRPr="004D42C5">
        <w:rPr>
          <w:sz w:val="22"/>
          <w:szCs w:val="22"/>
          <w:lang w:val="en"/>
        </w:rPr>
        <w:t xml:space="preserve"> </w:t>
      </w:r>
      <w:r w:rsidRPr="0095217B">
        <w:rPr>
          <w:sz w:val="22"/>
          <w:szCs w:val="22"/>
          <w:lang w:val="en"/>
        </w:rPr>
        <w:t xml:space="preserve">a </w:t>
      </w:r>
      <w:r w:rsidR="00405055">
        <w:rPr>
          <w:sz w:val="22"/>
          <w:szCs w:val="22"/>
          <w:lang w:val="en"/>
        </w:rPr>
        <w:t>positive</w:t>
      </w:r>
      <w:r w:rsidRPr="0095217B">
        <w:rPr>
          <w:sz w:val="22"/>
          <w:szCs w:val="22"/>
          <w:lang w:val="en"/>
        </w:rPr>
        <w:t xml:space="preserve"> change in working capital requirement of </w:t>
      </w:r>
      <w:r w:rsidR="00405055">
        <w:rPr>
          <w:sz w:val="22"/>
          <w:szCs w:val="22"/>
          <w:lang w:val="en"/>
        </w:rPr>
        <w:t>+</w:t>
      </w:r>
      <w:r w:rsidRPr="0095217B">
        <w:rPr>
          <w:sz w:val="22"/>
          <w:szCs w:val="22"/>
          <w:lang w:val="en"/>
        </w:rPr>
        <w:t>€</w:t>
      </w:r>
      <w:r w:rsidR="00405055">
        <w:rPr>
          <w:sz w:val="22"/>
          <w:szCs w:val="22"/>
          <w:lang w:val="en"/>
        </w:rPr>
        <w:t>7</w:t>
      </w:r>
      <w:r w:rsidRPr="0095217B">
        <w:rPr>
          <w:sz w:val="22"/>
          <w:szCs w:val="22"/>
          <w:lang w:val="en"/>
        </w:rPr>
        <w:t xml:space="preserve"> million.</w:t>
      </w:r>
      <w:r w:rsidRPr="004D42C5">
        <w:rPr>
          <w:sz w:val="22"/>
          <w:szCs w:val="22"/>
          <w:lang w:val="en"/>
        </w:rPr>
        <w:t xml:space="preserve"> </w:t>
      </w:r>
    </w:p>
    <w:p w14:paraId="5C4FF1C8" w14:textId="708B6862" w:rsidR="0039207B" w:rsidRPr="001D34C8" w:rsidRDefault="0039207B" w:rsidP="001D34C8">
      <w:pPr>
        <w:spacing w:before="0" w:after="360" w:line="240" w:lineRule="auto"/>
        <w:jc w:val="both"/>
        <w:rPr>
          <w:lang w:val="en"/>
        </w:rPr>
      </w:pPr>
      <w:r w:rsidRPr="004D42C5">
        <w:rPr>
          <w:sz w:val="22"/>
          <w:szCs w:val="22"/>
          <w:lang w:val="en"/>
        </w:rPr>
        <w:t>A</w:t>
      </w:r>
      <w:r>
        <w:rPr>
          <w:sz w:val="22"/>
          <w:szCs w:val="22"/>
          <w:lang w:val="en"/>
        </w:rPr>
        <w:t>s of</w:t>
      </w:r>
      <w:r w:rsidRPr="004D42C5">
        <w:rPr>
          <w:sz w:val="22"/>
          <w:szCs w:val="22"/>
          <w:lang w:val="en"/>
        </w:rPr>
        <w:t xml:space="preserve"> </w:t>
      </w:r>
      <w:r>
        <w:rPr>
          <w:sz w:val="22"/>
          <w:szCs w:val="22"/>
          <w:lang w:val="en"/>
        </w:rPr>
        <w:t xml:space="preserve">December 31, </w:t>
      </w:r>
      <w:r w:rsidRPr="004D42C5">
        <w:rPr>
          <w:sz w:val="22"/>
          <w:szCs w:val="22"/>
          <w:lang w:val="en"/>
        </w:rPr>
        <w:t>202</w:t>
      </w:r>
      <w:r>
        <w:rPr>
          <w:sz w:val="22"/>
          <w:szCs w:val="22"/>
          <w:lang w:val="en"/>
        </w:rPr>
        <w:t>2,</w:t>
      </w:r>
      <w:r w:rsidRPr="004D42C5">
        <w:rPr>
          <w:sz w:val="22"/>
          <w:szCs w:val="22"/>
          <w:lang w:val="en"/>
        </w:rPr>
        <w:t xml:space="preserve"> </w:t>
      </w:r>
      <w:r w:rsidRPr="004D42C5">
        <w:rPr>
          <w:b/>
          <w:sz w:val="22"/>
          <w:szCs w:val="22"/>
          <w:lang w:val="en"/>
        </w:rPr>
        <w:t xml:space="preserve">total </w:t>
      </w:r>
      <w:r>
        <w:rPr>
          <w:b/>
          <w:sz w:val="22"/>
          <w:szCs w:val="22"/>
          <w:lang w:val="en"/>
        </w:rPr>
        <w:t>inventories</w:t>
      </w:r>
      <w:r w:rsidRPr="004D42C5">
        <w:rPr>
          <w:sz w:val="22"/>
          <w:szCs w:val="22"/>
          <w:lang w:val="en"/>
        </w:rPr>
        <w:t xml:space="preserve"> of new vehicles (including the independent </w:t>
      </w:r>
      <w:r>
        <w:rPr>
          <w:sz w:val="22"/>
          <w:szCs w:val="22"/>
          <w:lang w:val="en"/>
        </w:rPr>
        <w:t xml:space="preserve">dealer </w:t>
      </w:r>
      <w:r w:rsidRPr="004D42C5">
        <w:rPr>
          <w:sz w:val="22"/>
          <w:szCs w:val="22"/>
          <w:lang w:val="en"/>
        </w:rPr>
        <w:t xml:space="preserve">network) represented </w:t>
      </w:r>
      <w:r>
        <w:rPr>
          <w:sz w:val="22"/>
          <w:szCs w:val="22"/>
          <w:lang w:val="en"/>
        </w:rPr>
        <w:t xml:space="preserve">480,000 </w:t>
      </w:r>
      <w:r w:rsidRPr="004D42C5">
        <w:rPr>
          <w:sz w:val="22"/>
          <w:szCs w:val="22"/>
          <w:lang w:val="en"/>
        </w:rPr>
        <w:t xml:space="preserve">vehicles compared to </w:t>
      </w:r>
      <w:r>
        <w:rPr>
          <w:sz w:val="22"/>
          <w:szCs w:val="22"/>
          <w:lang w:val="en"/>
        </w:rPr>
        <w:t>336</w:t>
      </w:r>
      <w:r w:rsidRPr="004D42C5">
        <w:rPr>
          <w:sz w:val="22"/>
          <w:szCs w:val="22"/>
          <w:lang w:val="en"/>
        </w:rPr>
        <w:t>,000</w:t>
      </w:r>
      <w:r>
        <w:rPr>
          <w:sz w:val="22"/>
          <w:szCs w:val="22"/>
          <w:lang w:val="en"/>
        </w:rPr>
        <w:t xml:space="preserve"> </w:t>
      </w:r>
      <w:r w:rsidRPr="004D42C5">
        <w:rPr>
          <w:sz w:val="22"/>
          <w:szCs w:val="22"/>
          <w:lang w:val="en"/>
        </w:rPr>
        <w:t>at the end</w:t>
      </w:r>
      <w:r>
        <w:rPr>
          <w:sz w:val="22"/>
          <w:szCs w:val="22"/>
          <w:lang w:val="en"/>
        </w:rPr>
        <w:t xml:space="preserve"> of December 2021</w:t>
      </w:r>
      <w:r w:rsidRPr="004D42C5">
        <w:rPr>
          <w:sz w:val="22"/>
          <w:szCs w:val="22"/>
          <w:lang w:val="en"/>
        </w:rPr>
        <w:t>.</w:t>
      </w:r>
      <w:r w:rsidR="00670506">
        <w:rPr>
          <w:sz w:val="22"/>
          <w:szCs w:val="22"/>
          <w:lang w:val="en"/>
        </w:rPr>
        <w:t xml:space="preserve"> Th</w:t>
      </w:r>
      <w:r w:rsidR="00B02393">
        <w:rPr>
          <w:sz w:val="22"/>
          <w:szCs w:val="22"/>
          <w:lang w:val="en"/>
        </w:rPr>
        <w:t xml:space="preserve">is increase is </w:t>
      </w:r>
      <w:r w:rsidR="00402693">
        <w:rPr>
          <w:sz w:val="22"/>
          <w:szCs w:val="22"/>
          <w:lang w:val="en"/>
        </w:rPr>
        <w:t>explained by</w:t>
      </w:r>
      <w:r w:rsidR="00B02393">
        <w:rPr>
          <w:sz w:val="22"/>
          <w:szCs w:val="22"/>
          <w:lang w:val="en"/>
        </w:rPr>
        <w:t xml:space="preserve"> </w:t>
      </w:r>
      <w:r w:rsidR="00670506">
        <w:rPr>
          <w:sz w:val="22"/>
          <w:szCs w:val="22"/>
          <w:lang w:val="en"/>
        </w:rPr>
        <w:t>h</w:t>
      </w:r>
      <w:r w:rsidR="00670506" w:rsidRPr="00F04C46">
        <w:rPr>
          <w:sz w:val="22"/>
          <w:szCs w:val="22"/>
          <w:lang w:val="en"/>
        </w:rPr>
        <w:t xml:space="preserve">igher </w:t>
      </w:r>
      <w:r w:rsidR="00670506">
        <w:rPr>
          <w:sz w:val="22"/>
          <w:szCs w:val="22"/>
          <w:lang w:val="en"/>
        </w:rPr>
        <w:t xml:space="preserve">independent dealers’ </w:t>
      </w:r>
      <w:r w:rsidR="00670506" w:rsidRPr="00F04C46">
        <w:rPr>
          <w:sz w:val="22"/>
          <w:szCs w:val="22"/>
          <w:lang w:val="en"/>
        </w:rPr>
        <w:t>inventories</w:t>
      </w:r>
      <w:r w:rsidR="00670506">
        <w:rPr>
          <w:sz w:val="22"/>
          <w:szCs w:val="22"/>
          <w:lang w:val="en"/>
        </w:rPr>
        <w:t xml:space="preserve"> </w:t>
      </w:r>
      <w:r w:rsidR="001D34C8">
        <w:rPr>
          <w:sz w:val="22"/>
          <w:szCs w:val="22"/>
          <w:lang w:val="en"/>
        </w:rPr>
        <w:t xml:space="preserve">notably </w:t>
      </w:r>
      <w:r w:rsidR="00670506" w:rsidRPr="00F04C46">
        <w:rPr>
          <w:sz w:val="22"/>
          <w:szCs w:val="22"/>
          <w:lang w:val="en"/>
        </w:rPr>
        <w:t xml:space="preserve">due to </w:t>
      </w:r>
      <w:r w:rsidR="00670506">
        <w:rPr>
          <w:sz w:val="22"/>
          <w:szCs w:val="22"/>
          <w:lang w:val="en"/>
        </w:rPr>
        <w:t xml:space="preserve">outbound </w:t>
      </w:r>
      <w:r w:rsidR="00670506" w:rsidRPr="00F04C46">
        <w:rPr>
          <w:sz w:val="22"/>
          <w:szCs w:val="22"/>
          <w:lang w:val="en"/>
        </w:rPr>
        <w:t xml:space="preserve">logistic </w:t>
      </w:r>
      <w:r w:rsidR="00670506">
        <w:rPr>
          <w:sz w:val="22"/>
          <w:szCs w:val="22"/>
          <w:lang w:val="en"/>
        </w:rPr>
        <w:t>tensions</w:t>
      </w:r>
      <w:r w:rsidR="00670506" w:rsidRPr="00F04C46">
        <w:rPr>
          <w:sz w:val="22"/>
          <w:szCs w:val="22"/>
          <w:lang w:val="en"/>
        </w:rPr>
        <w:t xml:space="preserve"> at the end of the year</w:t>
      </w:r>
      <w:r w:rsidR="00DD1314">
        <w:rPr>
          <w:sz w:val="22"/>
          <w:szCs w:val="22"/>
          <w:lang w:val="en"/>
        </w:rPr>
        <w:t>.</w:t>
      </w:r>
      <w:r w:rsidR="005F74A6">
        <w:rPr>
          <w:sz w:val="22"/>
          <w:szCs w:val="22"/>
          <w:lang w:val="en"/>
        </w:rPr>
        <w:t xml:space="preserve"> This level of inventories has to be put into perspective with the </w:t>
      </w:r>
      <w:r w:rsidR="005F74A6" w:rsidRPr="000C7697">
        <w:rPr>
          <w:sz w:val="22"/>
          <w:szCs w:val="22"/>
          <w:lang w:val="en"/>
        </w:rPr>
        <w:t>record level of the orderbook</w:t>
      </w:r>
      <w:r w:rsidR="005F74A6">
        <w:rPr>
          <w:sz w:val="22"/>
          <w:szCs w:val="22"/>
          <w:lang w:val="en"/>
        </w:rPr>
        <w:t>.</w:t>
      </w:r>
    </w:p>
    <w:p w14:paraId="15BF9836" w14:textId="5F798C96" w:rsidR="00D30C27" w:rsidRPr="004D491B" w:rsidRDefault="00472FAE" w:rsidP="004D491B">
      <w:pPr>
        <w:spacing w:after="240" w:line="240" w:lineRule="auto"/>
        <w:jc w:val="both"/>
        <w:rPr>
          <w:sz w:val="22"/>
          <w:szCs w:val="22"/>
          <w:lang w:val="en"/>
        </w:rPr>
      </w:pPr>
      <w:bookmarkStart w:id="1" w:name="_Hlk124244730"/>
      <w:r>
        <w:rPr>
          <w:b/>
          <w:bCs/>
          <w:sz w:val="22"/>
          <w:szCs w:val="22"/>
          <w:lang w:val="en"/>
        </w:rPr>
        <w:t xml:space="preserve">The </w:t>
      </w:r>
      <w:r w:rsidR="00D30C27" w:rsidRPr="00B51A9F">
        <w:rPr>
          <w:b/>
          <w:bCs/>
          <w:sz w:val="22"/>
          <w:szCs w:val="22"/>
          <w:lang w:val="en"/>
        </w:rPr>
        <w:t xml:space="preserve">Automotive </w:t>
      </w:r>
      <w:r w:rsidR="00006682">
        <w:rPr>
          <w:b/>
          <w:bCs/>
          <w:sz w:val="22"/>
          <w:szCs w:val="22"/>
          <w:lang w:val="en"/>
        </w:rPr>
        <w:t xml:space="preserve">financial position </w:t>
      </w:r>
      <w:r w:rsidR="00006682" w:rsidRPr="00006682">
        <w:rPr>
          <w:sz w:val="22"/>
          <w:szCs w:val="22"/>
          <w:lang w:val="en"/>
        </w:rPr>
        <w:t>is now positive at</w:t>
      </w:r>
      <w:r w:rsidR="00006682">
        <w:rPr>
          <w:b/>
          <w:bCs/>
          <w:sz w:val="22"/>
          <w:szCs w:val="22"/>
          <w:lang w:val="en"/>
        </w:rPr>
        <w:t xml:space="preserve"> </w:t>
      </w:r>
      <w:r w:rsidR="002460DC" w:rsidRPr="007E543F">
        <w:rPr>
          <w:sz w:val="22"/>
          <w:szCs w:val="22"/>
          <w:lang w:val="en"/>
        </w:rPr>
        <w:t>+</w:t>
      </w:r>
      <w:r w:rsidR="001F7B5D" w:rsidRPr="003858B9">
        <w:rPr>
          <w:rFonts w:ascii="Renault Group" w:eastAsia="Renault Group" w:hAnsi="Renault Group" w:cs="Times New Roman"/>
          <w:sz w:val="22"/>
          <w:szCs w:val="22"/>
          <w:lang w:val="en"/>
        </w:rPr>
        <w:t>€</w:t>
      </w:r>
      <w:r w:rsidR="00405055">
        <w:rPr>
          <w:sz w:val="22"/>
          <w:szCs w:val="22"/>
          <w:lang w:val="en"/>
        </w:rPr>
        <w:t xml:space="preserve">549 </w:t>
      </w:r>
      <w:r w:rsidR="00D30C27">
        <w:rPr>
          <w:sz w:val="22"/>
          <w:szCs w:val="22"/>
          <w:lang w:val="en"/>
        </w:rPr>
        <w:t>million</w:t>
      </w:r>
      <w:r w:rsidR="00D30C27" w:rsidRPr="00B51A9F">
        <w:rPr>
          <w:sz w:val="22"/>
          <w:szCs w:val="22"/>
          <w:lang w:val="en"/>
        </w:rPr>
        <w:t xml:space="preserve"> </w:t>
      </w:r>
      <w:r w:rsidR="001F7B5D">
        <w:rPr>
          <w:sz w:val="22"/>
          <w:szCs w:val="22"/>
          <w:lang w:val="en"/>
        </w:rPr>
        <w:t>on</w:t>
      </w:r>
      <w:r w:rsidR="00D30C27" w:rsidRPr="00B51A9F">
        <w:rPr>
          <w:sz w:val="22"/>
          <w:szCs w:val="22"/>
          <w:lang w:val="en"/>
        </w:rPr>
        <w:t xml:space="preserve"> </w:t>
      </w:r>
      <w:r w:rsidR="00006682">
        <w:rPr>
          <w:sz w:val="22"/>
          <w:szCs w:val="22"/>
          <w:lang w:val="en"/>
        </w:rPr>
        <w:t>December</w:t>
      </w:r>
      <w:r w:rsidR="009A39A9">
        <w:rPr>
          <w:sz w:val="22"/>
          <w:szCs w:val="22"/>
          <w:lang w:val="en"/>
        </w:rPr>
        <w:t xml:space="preserve"> </w:t>
      </w:r>
      <w:r w:rsidR="001F7B5D">
        <w:rPr>
          <w:sz w:val="22"/>
          <w:szCs w:val="22"/>
          <w:lang w:val="en"/>
        </w:rPr>
        <w:t>31</w:t>
      </w:r>
      <w:r w:rsidR="009A39A9">
        <w:rPr>
          <w:sz w:val="22"/>
          <w:szCs w:val="22"/>
          <w:lang w:val="en"/>
        </w:rPr>
        <w:t>,</w:t>
      </w:r>
      <w:r w:rsidR="00D30C27">
        <w:rPr>
          <w:sz w:val="22"/>
          <w:szCs w:val="22"/>
          <w:lang w:val="en"/>
        </w:rPr>
        <w:t xml:space="preserve"> </w:t>
      </w:r>
      <w:r w:rsidR="00D30C27" w:rsidRPr="00B51A9F">
        <w:rPr>
          <w:sz w:val="22"/>
          <w:szCs w:val="22"/>
          <w:lang w:val="en"/>
        </w:rPr>
        <w:t>2022</w:t>
      </w:r>
      <w:r w:rsidR="00D30C27">
        <w:rPr>
          <w:lang w:val="en"/>
        </w:rPr>
        <w:t xml:space="preserve"> </w:t>
      </w:r>
      <w:r w:rsidR="00D30C27" w:rsidRPr="00D036DB">
        <w:rPr>
          <w:sz w:val="22"/>
          <w:szCs w:val="22"/>
          <w:lang w:val="en"/>
        </w:rPr>
        <w:t xml:space="preserve">compared to </w:t>
      </w:r>
      <w:r w:rsidR="00D30C27" w:rsidDel="00FC06A5">
        <w:rPr>
          <w:sz w:val="22"/>
          <w:szCs w:val="22"/>
          <w:lang w:val="en"/>
        </w:rPr>
        <w:t>-</w:t>
      </w:r>
      <w:r w:rsidR="00D30C27" w:rsidRPr="00D036DB" w:rsidDel="00FC06A5">
        <w:rPr>
          <w:sz w:val="22"/>
          <w:szCs w:val="22"/>
          <w:lang w:val="en"/>
        </w:rPr>
        <w:t>€</w:t>
      </w:r>
      <w:r w:rsidR="00D30C27" w:rsidDel="00FC06A5">
        <w:rPr>
          <w:sz w:val="22"/>
          <w:szCs w:val="22"/>
          <w:lang w:val="en"/>
        </w:rPr>
        <w:t>1</w:t>
      </w:r>
      <w:r w:rsidR="00594299" w:rsidDel="00FC06A5">
        <w:rPr>
          <w:sz w:val="22"/>
          <w:szCs w:val="22"/>
          <w:lang w:val="en"/>
        </w:rPr>
        <w:t>,</w:t>
      </w:r>
      <w:r w:rsidR="00D30C27">
        <w:rPr>
          <w:sz w:val="22"/>
          <w:szCs w:val="22"/>
          <w:lang w:val="en"/>
        </w:rPr>
        <w:t>1</w:t>
      </w:r>
      <w:r w:rsidR="00594299">
        <w:rPr>
          <w:sz w:val="22"/>
          <w:szCs w:val="22"/>
          <w:lang w:val="en"/>
        </w:rPr>
        <w:t>00</w:t>
      </w:r>
      <w:r w:rsidR="00D30C27">
        <w:rPr>
          <w:sz w:val="22"/>
          <w:szCs w:val="22"/>
          <w:lang w:val="en"/>
        </w:rPr>
        <w:t xml:space="preserve"> </w:t>
      </w:r>
      <w:r w:rsidR="00594299">
        <w:rPr>
          <w:sz w:val="22"/>
          <w:szCs w:val="22"/>
          <w:lang w:val="en"/>
        </w:rPr>
        <w:t>m</w:t>
      </w:r>
      <w:r w:rsidR="00D30C27">
        <w:rPr>
          <w:sz w:val="22"/>
          <w:szCs w:val="22"/>
          <w:lang w:val="en"/>
        </w:rPr>
        <w:t>illion adjusted from the operations of AVTOVAZ and Renault Russia</w:t>
      </w:r>
      <w:r w:rsidR="00FC06A5" w:rsidRPr="00FC06A5">
        <w:rPr>
          <w:sz w:val="22"/>
          <w:szCs w:val="22"/>
          <w:lang w:val="en"/>
        </w:rPr>
        <w:t xml:space="preserve"> </w:t>
      </w:r>
      <w:r w:rsidR="00FC06A5">
        <w:rPr>
          <w:sz w:val="22"/>
          <w:szCs w:val="22"/>
          <w:lang w:val="en"/>
        </w:rPr>
        <w:t>at December 31, 2021</w:t>
      </w:r>
      <w:r w:rsidR="00D30C27">
        <w:rPr>
          <w:sz w:val="22"/>
          <w:szCs w:val="22"/>
          <w:lang w:val="en"/>
        </w:rPr>
        <w:t>,</w:t>
      </w:r>
      <w:r w:rsidR="004F3A08">
        <w:rPr>
          <w:lang w:val="en"/>
        </w:rPr>
        <w:t xml:space="preserve"> </w:t>
      </w:r>
      <w:r w:rsidR="00D30C27">
        <w:rPr>
          <w:sz w:val="22"/>
          <w:szCs w:val="22"/>
          <w:lang w:val="en"/>
        </w:rPr>
        <w:t>a</w:t>
      </w:r>
      <w:r w:rsidR="00253108">
        <w:rPr>
          <w:sz w:val="22"/>
          <w:szCs w:val="22"/>
          <w:lang w:val="en"/>
        </w:rPr>
        <w:t>n</w:t>
      </w:r>
      <w:r w:rsidR="00D30C27">
        <w:rPr>
          <w:sz w:val="22"/>
          <w:szCs w:val="22"/>
          <w:lang w:val="en"/>
        </w:rPr>
        <w:t xml:space="preserve"> </w:t>
      </w:r>
      <w:r w:rsidR="000B7903" w:rsidRPr="000A7758">
        <w:rPr>
          <w:sz w:val="22"/>
          <w:szCs w:val="22"/>
          <w:lang w:val="en"/>
        </w:rPr>
        <w:t xml:space="preserve">improvement </w:t>
      </w:r>
      <w:r w:rsidR="00D30C27" w:rsidRPr="000A7758">
        <w:rPr>
          <w:sz w:val="22"/>
          <w:szCs w:val="22"/>
          <w:lang w:val="en"/>
        </w:rPr>
        <w:t>of €</w:t>
      </w:r>
      <w:r w:rsidR="00CA1580" w:rsidRPr="000A7758">
        <w:rPr>
          <w:sz w:val="22"/>
          <w:szCs w:val="22"/>
          <w:lang w:val="en"/>
        </w:rPr>
        <w:t>1.</w:t>
      </w:r>
      <w:r w:rsidR="00405055">
        <w:rPr>
          <w:sz w:val="22"/>
          <w:szCs w:val="22"/>
          <w:lang w:val="en"/>
        </w:rPr>
        <w:t>6</w:t>
      </w:r>
      <w:r w:rsidR="00D30C27" w:rsidRPr="004D491B">
        <w:rPr>
          <w:sz w:val="22"/>
          <w:szCs w:val="22"/>
          <w:lang w:val="en"/>
        </w:rPr>
        <w:t xml:space="preserve"> </w:t>
      </w:r>
      <w:r w:rsidR="00D30C27" w:rsidRPr="000A7758">
        <w:rPr>
          <w:sz w:val="22"/>
          <w:szCs w:val="22"/>
          <w:lang w:val="en"/>
        </w:rPr>
        <w:t>billion.</w:t>
      </w:r>
    </w:p>
    <w:bookmarkEnd w:id="1"/>
    <w:p w14:paraId="109CDDB3" w14:textId="3D239B26" w:rsidR="00881D5B" w:rsidRDefault="00D30C27" w:rsidP="002C4A81">
      <w:pPr>
        <w:spacing w:after="240" w:line="240" w:lineRule="auto"/>
        <w:jc w:val="both"/>
        <w:rPr>
          <w:sz w:val="22"/>
          <w:szCs w:val="22"/>
          <w:lang w:val="en"/>
        </w:rPr>
      </w:pPr>
      <w:r>
        <w:rPr>
          <w:sz w:val="22"/>
          <w:szCs w:val="22"/>
          <w:lang w:val="en"/>
        </w:rPr>
        <w:lastRenderedPageBreak/>
        <w:t>In</w:t>
      </w:r>
      <w:r>
        <w:rPr>
          <w:sz w:val="22"/>
          <w:szCs w:val="22"/>
          <w:vertAlign w:val="superscript"/>
          <w:lang w:val="en"/>
        </w:rPr>
        <w:t xml:space="preserve"> </w:t>
      </w:r>
      <w:r w:rsidRPr="004D42C5">
        <w:rPr>
          <w:sz w:val="22"/>
          <w:szCs w:val="22"/>
          <w:lang w:val="en"/>
        </w:rPr>
        <w:t xml:space="preserve">2022, Renault Group </w:t>
      </w:r>
      <w:r>
        <w:rPr>
          <w:sz w:val="22"/>
          <w:szCs w:val="22"/>
          <w:lang w:val="en"/>
        </w:rPr>
        <w:t xml:space="preserve">made an early repayment of </w:t>
      </w:r>
      <w:r w:rsidRPr="004D42C5">
        <w:rPr>
          <w:sz w:val="22"/>
          <w:szCs w:val="22"/>
          <w:lang w:val="en"/>
        </w:rPr>
        <w:t xml:space="preserve">€1 billion </w:t>
      </w:r>
      <w:r w:rsidR="00316C1C">
        <w:rPr>
          <w:sz w:val="22"/>
          <w:szCs w:val="22"/>
          <w:lang w:val="en"/>
        </w:rPr>
        <w:t>and</w:t>
      </w:r>
      <w:r w:rsidR="00316C1C" w:rsidRPr="004D42C5">
        <w:rPr>
          <w:sz w:val="22"/>
          <w:szCs w:val="22"/>
          <w:lang w:val="en"/>
        </w:rPr>
        <w:t xml:space="preserve"> </w:t>
      </w:r>
      <w:r w:rsidR="005C7E3C">
        <w:rPr>
          <w:sz w:val="22"/>
          <w:szCs w:val="22"/>
          <w:lang w:val="en"/>
        </w:rPr>
        <w:t xml:space="preserve">reimbursed </w:t>
      </w:r>
      <w:r w:rsidR="00316C1C" w:rsidRPr="004D42C5">
        <w:rPr>
          <w:sz w:val="22"/>
          <w:szCs w:val="22"/>
          <w:lang w:val="en"/>
        </w:rPr>
        <w:t xml:space="preserve">€1 billion </w:t>
      </w:r>
      <w:r w:rsidR="00316C1C">
        <w:rPr>
          <w:sz w:val="22"/>
          <w:szCs w:val="22"/>
          <w:lang w:val="en"/>
        </w:rPr>
        <w:t>for</w:t>
      </w:r>
      <w:r w:rsidR="00316C1C" w:rsidRPr="004D42C5">
        <w:rPr>
          <w:sz w:val="22"/>
          <w:szCs w:val="22"/>
          <w:lang w:val="en"/>
        </w:rPr>
        <w:t xml:space="preserve"> the </w:t>
      </w:r>
      <w:r w:rsidR="00316C1C" w:rsidRPr="002F4E7C">
        <w:rPr>
          <w:sz w:val="22"/>
          <w:szCs w:val="22"/>
          <w:lang w:val="en"/>
        </w:rPr>
        <w:t>mandatory annual</w:t>
      </w:r>
      <w:r w:rsidR="00316C1C">
        <w:rPr>
          <w:sz w:val="22"/>
          <w:szCs w:val="22"/>
          <w:lang w:val="en"/>
        </w:rPr>
        <w:t xml:space="preserve"> repayment</w:t>
      </w:r>
      <w:r w:rsidR="00316C1C" w:rsidRPr="004D42C5">
        <w:rPr>
          <w:sz w:val="22"/>
          <w:szCs w:val="22"/>
          <w:lang w:val="en"/>
        </w:rPr>
        <w:t xml:space="preserve"> </w:t>
      </w:r>
      <w:r w:rsidRPr="004D42C5">
        <w:rPr>
          <w:sz w:val="22"/>
          <w:szCs w:val="22"/>
          <w:lang w:val="en"/>
        </w:rPr>
        <w:t xml:space="preserve">of the loan of a banking pool benefiting from the guarantee of the French State </w:t>
      </w:r>
      <w:r>
        <w:rPr>
          <w:sz w:val="22"/>
          <w:szCs w:val="22"/>
          <w:lang w:val="en"/>
        </w:rPr>
        <w:t>(PGE)</w:t>
      </w:r>
      <w:r w:rsidRPr="004D42C5">
        <w:rPr>
          <w:sz w:val="22"/>
          <w:szCs w:val="22"/>
          <w:lang w:val="en"/>
        </w:rPr>
        <w:t xml:space="preserve">. </w:t>
      </w:r>
      <w:r>
        <w:rPr>
          <w:lang w:val="en"/>
        </w:rPr>
        <w:t xml:space="preserve"> </w:t>
      </w:r>
      <w:r>
        <w:rPr>
          <w:sz w:val="22"/>
          <w:szCs w:val="22"/>
          <w:lang w:val="en"/>
        </w:rPr>
        <w:t xml:space="preserve">As announced, </w:t>
      </w:r>
      <w:r w:rsidRPr="004D42C5">
        <w:rPr>
          <w:sz w:val="22"/>
          <w:szCs w:val="22"/>
          <w:lang w:val="en"/>
        </w:rPr>
        <w:t>the entire loan will be re</w:t>
      </w:r>
      <w:r>
        <w:rPr>
          <w:sz w:val="22"/>
          <w:szCs w:val="22"/>
          <w:lang w:val="en"/>
        </w:rPr>
        <w:t>imbursed</w:t>
      </w:r>
      <w:r w:rsidRPr="004D42C5">
        <w:rPr>
          <w:sz w:val="22"/>
          <w:szCs w:val="22"/>
          <w:lang w:val="en"/>
        </w:rPr>
        <w:t xml:space="preserve"> by the end of 2023 at the latest. </w:t>
      </w:r>
    </w:p>
    <w:p w14:paraId="4EE09D4E" w14:textId="1403A3E7" w:rsidR="002A3AB1" w:rsidRDefault="00516D33" w:rsidP="007B4DE8">
      <w:pPr>
        <w:spacing w:before="0" w:line="240" w:lineRule="auto"/>
        <w:contextualSpacing/>
        <w:jc w:val="both"/>
        <w:rPr>
          <w:sz w:val="22"/>
          <w:szCs w:val="22"/>
          <w:lang w:val="en"/>
        </w:rPr>
      </w:pPr>
      <w:r>
        <w:rPr>
          <w:sz w:val="22"/>
          <w:szCs w:val="22"/>
          <w:lang w:val="en"/>
        </w:rPr>
        <w:t xml:space="preserve">In 2022, </w:t>
      </w:r>
      <w:r w:rsidR="00210976">
        <w:rPr>
          <w:sz w:val="22"/>
          <w:szCs w:val="22"/>
          <w:lang w:val="en"/>
        </w:rPr>
        <w:t>Renault SA</w:t>
      </w:r>
      <w:r w:rsidR="00210976" w:rsidRPr="00210976" w:rsidDel="001C0423">
        <w:rPr>
          <w:sz w:val="22"/>
          <w:szCs w:val="22"/>
          <w:lang w:val="en"/>
        </w:rPr>
        <w:t xml:space="preserve"> </w:t>
      </w:r>
      <w:r w:rsidR="00210976" w:rsidRPr="00210976">
        <w:rPr>
          <w:sz w:val="22"/>
          <w:szCs w:val="22"/>
          <w:lang w:val="en"/>
        </w:rPr>
        <w:t>issue</w:t>
      </w:r>
      <w:r w:rsidR="00210976">
        <w:rPr>
          <w:sz w:val="22"/>
          <w:szCs w:val="22"/>
          <w:lang w:val="en"/>
        </w:rPr>
        <w:t>d</w:t>
      </w:r>
      <w:r w:rsidR="00210976" w:rsidRPr="00210976">
        <w:rPr>
          <w:sz w:val="22"/>
          <w:szCs w:val="22"/>
          <w:lang w:val="en"/>
        </w:rPr>
        <w:t xml:space="preserve"> </w:t>
      </w:r>
      <w:r w:rsidR="002A3AB1">
        <w:rPr>
          <w:sz w:val="22"/>
          <w:szCs w:val="22"/>
          <w:lang w:val="en"/>
        </w:rPr>
        <w:t>2 Samurai bonds:</w:t>
      </w:r>
    </w:p>
    <w:p w14:paraId="5205E957" w14:textId="1F52A26F" w:rsidR="004D491B" w:rsidRDefault="007A661F" w:rsidP="00125DEE">
      <w:pPr>
        <w:pStyle w:val="Paragraphedeliste"/>
        <w:keepNext/>
        <w:numPr>
          <w:ilvl w:val="2"/>
          <w:numId w:val="28"/>
        </w:numPr>
        <w:spacing w:before="0" w:line="240" w:lineRule="auto"/>
        <w:jc w:val="both"/>
        <w:outlineLvl w:val="0"/>
        <w:rPr>
          <w:sz w:val="22"/>
          <w:szCs w:val="22"/>
          <w:lang w:val="en"/>
        </w:rPr>
      </w:pPr>
      <w:r>
        <w:rPr>
          <w:sz w:val="22"/>
          <w:szCs w:val="22"/>
          <w:lang w:val="en"/>
        </w:rPr>
        <w:t xml:space="preserve">c. </w:t>
      </w:r>
      <w:r w:rsidRPr="0000660E">
        <w:rPr>
          <w:sz w:val="22"/>
          <w:szCs w:val="22"/>
          <w:lang w:val="en"/>
        </w:rPr>
        <w:t>€560</w:t>
      </w:r>
      <w:r>
        <w:rPr>
          <w:sz w:val="22"/>
          <w:szCs w:val="22"/>
          <w:lang w:val="en"/>
        </w:rPr>
        <w:t xml:space="preserve"> </w:t>
      </w:r>
      <w:r w:rsidRPr="0000660E">
        <w:rPr>
          <w:sz w:val="22"/>
          <w:szCs w:val="22"/>
          <w:lang w:val="en"/>
        </w:rPr>
        <w:t>m</w:t>
      </w:r>
      <w:r>
        <w:rPr>
          <w:sz w:val="22"/>
          <w:szCs w:val="22"/>
          <w:lang w:val="en"/>
        </w:rPr>
        <w:t>illion</w:t>
      </w:r>
      <w:r w:rsidRPr="00BC432B">
        <w:rPr>
          <w:sz w:val="22"/>
          <w:szCs w:val="22"/>
          <w:lang w:val="en"/>
        </w:rPr>
        <w:t xml:space="preserve"> </w:t>
      </w:r>
      <w:r>
        <w:rPr>
          <w:sz w:val="22"/>
          <w:szCs w:val="22"/>
          <w:lang w:val="en"/>
        </w:rPr>
        <w:t>Samurai bond (</w:t>
      </w:r>
      <w:r w:rsidR="00BC432B" w:rsidRPr="00BC432B">
        <w:rPr>
          <w:sz w:val="22"/>
          <w:szCs w:val="22"/>
          <w:lang w:val="en"/>
        </w:rPr>
        <w:t>¥80.7</w:t>
      </w:r>
      <w:r w:rsidR="00BC432B">
        <w:rPr>
          <w:sz w:val="22"/>
          <w:szCs w:val="22"/>
          <w:lang w:val="en"/>
        </w:rPr>
        <w:t xml:space="preserve"> </w:t>
      </w:r>
      <w:r w:rsidR="00E2033D">
        <w:rPr>
          <w:sz w:val="22"/>
          <w:szCs w:val="22"/>
          <w:lang w:val="en"/>
        </w:rPr>
        <w:t>billion</w:t>
      </w:r>
      <w:r>
        <w:rPr>
          <w:sz w:val="22"/>
          <w:szCs w:val="22"/>
          <w:lang w:val="en"/>
        </w:rPr>
        <w:t>)</w:t>
      </w:r>
      <w:r w:rsidR="00BC432B">
        <w:rPr>
          <w:sz w:val="22"/>
          <w:szCs w:val="22"/>
          <w:lang w:val="en"/>
        </w:rPr>
        <w:t xml:space="preserve">, on </w:t>
      </w:r>
      <w:r w:rsidR="00C545BE">
        <w:rPr>
          <w:sz w:val="22"/>
          <w:szCs w:val="22"/>
          <w:lang w:val="en"/>
        </w:rPr>
        <w:t>Ju</w:t>
      </w:r>
      <w:r w:rsidR="00D9694B">
        <w:rPr>
          <w:sz w:val="22"/>
          <w:szCs w:val="22"/>
          <w:lang w:val="en"/>
        </w:rPr>
        <w:t>ne</w:t>
      </w:r>
      <w:r w:rsidR="00C545BE">
        <w:rPr>
          <w:sz w:val="22"/>
          <w:szCs w:val="22"/>
          <w:lang w:val="en"/>
        </w:rPr>
        <w:t xml:space="preserve"> </w:t>
      </w:r>
      <w:r w:rsidR="00D9694B">
        <w:rPr>
          <w:sz w:val="22"/>
          <w:szCs w:val="22"/>
          <w:lang w:val="en"/>
        </w:rPr>
        <w:t>24</w:t>
      </w:r>
      <w:r w:rsidR="00C545BE">
        <w:rPr>
          <w:sz w:val="22"/>
          <w:szCs w:val="22"/>
          <w:lang w:val="en"/>
        </w:rPr>
        <w:t>, 2022</w:t>
      </w:r>
      <w:r w:rsidR="000D5A8E">
        <w:rPr>
          <w:sz w:val="22"/>
          <w:szCs w:val="22"/>
          <w:lang w:val="en"/>
        </w:rPr>
        <w:t xml:space="preserve">, </w:t>
      </w:r>
      <w:r w:rsidR="00A01FE7" w:rsidRPr="00685CEF">
        <w:rPr>
          <w:sz w:val="22"/>
          <w:szCs w:val="22"/>
          <w:lang w:val="en"/>
        </w:rPr>
        <w:t xml:space="preserve">3-year </w:t>
      </w:r>
      <w:r w:rsidR="0000660E">
        <w:rPr>
          <w:sz w:val="22"/>
          <w:szCs w:val="22"/>
          <w:lang w:val="en"/>
        </w:rPr>
        <w:t xml:space="preserve">maturity </w:t>
      </w:r>
      <w:r w:rsidR="0000660E" w:rsidRPr="0000660E">
        <w:rPr>
          <w:sz w:val="22"/>
          <w:szCs w:val="22"/>
          <w:lang w:val="en"/>
        </w:rPr>
        <w:t>with</w:t>
      </w:r>
      <w:r w:rsidR="00A01FE7">
        <w:rPr>
          <w:sz w:val="22"/>
          <w:szCs w:val="22"/>
          <w:lang w:val="en"/>
        </w:rPr>
        <w:t xml:space="preserve"> a coupon of</w:t>
      </w:r>
      <w:r w:rsidR="00286253">
        <w:rPr>
          <w:sz w:val="22"/>
          <w:szCs w:val="22"/>
          <w:lang w:val="en"/>
        </w:rPr>
        <w:t xml:space="preserve"> </w:t>
      </w:r>
      <w:r w:rsidR="002E1A83">
        <w:rPr>
          <w:sz w:val="22"/>
          <w:szCs w:val="22"/>
          <w:lang w:val="en"/>
        </w:rPr>
        <w:t>3.5</w:t>
      </w:r>
      <w:r w:rsidR="005C5DDB">
        <w:rPr>
          <w:sz w:val="22"/>
          <w:szCs w:val="22"/>
          <w:lang w:val="en"/>
        </w:rPr>
        <w:t>0</w:t>
      </w:r>
      <w:r w:rsidR="002E1A83">
        <w:rPr>
          <w:sz w:val="22"/>
          <w:szCs w:val="22"/>
          <w:lang w:val="en"/>
        </w:rPr>
        <w:t>%</w:t>
      </w:r>
      <w:r w:rsidR="000F648B">
        <w:rPr>
          <w:sz w:val="22"/>
          <w:szCs w:val="22"/>
          <w:lang w:val="en"/>
        </w:rPr>
        <w:t>;</w:t>
      </w:r>
    </w:p>
    <w:p w14:paraId="17EEF452" w14:textId="5F813218" w:rsidR="00EA686C" w:rsidRPr="004D491B" w:rsidRDefault="00516D33" w:rsidP="00125DEE">
      <w:pPr>
        <w:pStyle w:val="Paragraphedeliste"/>
        <w:keepNext/>
        <w:numPr>
          <w:ilvl w:val="2"/>
          <w:numId w:val="28"/>
        </w:numPr>
        <w:spacing w:before="0" w:line="240" w:lineRule="auto"/>
        <w:jc w:val="both"/>
        <w:outlineLvl w:val="0"/>
        <w:rPr>
          <w:sz w:val="22"/>
          <w:szCs w:val="22"/>
          <w:lang w:val="en"/>
        </w:rPr>
      </w:pPr>
      <w:r w:rsidRPr="004D491B">
        <w:rPr>
          <w:sz w:val="22"/>
          <w:szCs w:val="22"/>
          <w:lang w:val="en"/>
        </w:rPr>
        <w:t xml:space="preserve"> </w:t>
      </w:r>
      <w:r w:rsidR="002E2C95" w:rsidRPr="004D491B">
        <w:rPr>
          <w:sz w:val="22"/>
          <w:szCs w:val="22"/>
          <w:lang w:val="en"/>
        </w:rPr>
        <w:t xml:space="preserve">c. €1.4 billion </w:t>
      </w:r>
      <w:r w:rsidR="00210976" w:rsidRPr="004D491B">
        <w:rPr>
          <w:sz w:val="22"/>
          <w:szCs w:val="22"/>
          <w:lang w:val="en"/>
        </w:rPr>
        <w:t>Samurai retail bond</w:t>
      </w:r>
      <w:r w:rsidR="007A661F" w:rsidRPr="004D491B">
        <w:rPr>
          <w:sz w:val="22"/>
          <w:szCs w:val="22"/>
          <w:lang w:val="en"/>
        </w:rPr>
        <w:t xml:space="preserve"> (¥210 billion)</w:t>
      </w:r>
      <w:r w:rsidR="00210976" w:rsidRPr="004D491B">
        <w:rPr>
          <w:sz w:val="22"/>
          <w:szCs w:val="22"/>
          <w:lang w:val="en"/>
        </w:rPr>
        <w:t>, on December 22, 2022</w:t>
      </w:r>
      <w:r w:rsidR="00153FA2" w:rsidRPr="004D491B">
        <w:rPr>
          <w:sz w:val="22"/>
          <w:szCs w:val="22"/>
          <w:lang w:val="en"/>
        </w:rPr>
        <w:t xml:space="preserve">, </w:t>
      </w:r>
      <w:r w:rsidR="002E2C95" w:rsidRPr="004D491B">
        <w:rPr>
          <w:sz w:val="22"/>
          <w:szCs w:val="22"/>
          <w:lang w:val="en"/>
        </w:rPr>
        <w:t xml:space="preserve">maturity December 2026 </w:t>
      </w:r>
      <w:r w:rsidR="00EA686C" w:rsidRPr="004D491B">
        <w:rPr>
          <w:sz w:val="22"/>
          <w:szCs w:val="22"/>
          <w:lang w:val="en"/>
        </w:rPr>
        <w:t>with</w:t>
      </w:r>
      <w:r w:rsidR="002E2C95" w:rsidRPr="004D491B">
        <w:rPr>
          <w:sz w:val="22"/>
          <w:szCs w:val="22"/>
          <w:lang w:val="en"/>
        </w:rPr>
        <w:t xml:space="preserve"> a coupon of 2.8</w:t>
      </w:r>
      <w:r w:rsidR="005C5DDB">
        <w:rPr>
          <w:sz w:val="22"/>
          <w:szCs w:val="22"/>
          <w:lang w:val="en"/>
        </w:rPr>
        <w:t>0</w:t>
      </w:r>
      <w:r w:rsidR="002E2C95" w:rsidRPr="004D491B">
        <w:rPr>
          <w:sz w:val="22"/>
          <w:szCs w:val="22"/>
          <w:lang w:val="en"/>
        </w:rPr>
        <w:t>%.</w:t>
      </w:r>
      <w:r w:rsidR="006B29EA" w:rsidRPr="004D491B">
        <w:rPr>
          <w:sz w:val="22"/>
          <w:szCs w:val="22"/>
          <w:lang w:val="en"/>
        </w:rPr>
        <w:t xml:space="preserve"> </w:t>
      </w:r>
      <w:r w:rsidR="009D20D0" w:rsidRPr="004D491B">
        <w:rPr>
          <w:sz w:val="22"/>
          <w:szCs w:val="22"/>
          <w:lang w:val="en"/>
        </w:rPr>
        <w:t xml:space="preserve">This transaction represents Renault Group's first-ever issuance of retail bond targeted to individuals and stands as the second largest public offering of Samurai bond for individuals. </w:t>
      </w:r>
    </w:p>
    <w:p w14:paraId="3505B001" w14:textId="5D6DD85C" w:rsidR="007B4DE8" w:rsidRPr="00C129D1" w:rsidRDefault="00C328D1" w:rsidP="002C4A81">
      <w:pPr>
        <w:spacing w:after="240" w:line="240" w:lineRule="auto"/>
        <w:jc w:val="both"/>
        <w:rPr>
          <w:sz w:val="22"/>
          <w:szCs w:val="22"/>
          <w:lang w:val="en"/>
        </w:rPr>
      </w:pPr>
      <w:r w:rsidRPr="002C4A81">
        <w:rPr>
          <w:b/>
          <w:bCs/>
          <w:sz w:val="22"/>
          <w:szCs w:val="22"/>
          <w:lang w:val="en"/>
        </w:rPr>
        <w:t>Liquidity reserve</w:t>
      </w:r>
      <w:r w:rsidRPr="00C129D1">
        <w:rPr>
          <w:sz w:val="22"/>
          <w:szCs w:val="22"/>
          <w:lang w:val="en"/>
        </w:rPr>
        <w:t xml:space="preserve"> at the end of 2022 stood at a </w:t>
      </w:r>
      <w:r w:rsidR="00D9694B">
        <w:rPr>
          <w:sz w:val="22"/>
          <w:szCs w:val="22"/>
          <w:lang w:val="en"/>
        </w:rPr>
        <w:t>high</w:t>
      </w:r>
      <w:r w:rsidRPr="00C129D1">
        <w:rPr>
          <w:sz w:val="22"/>
          <w:szCs w:val="22"/>
          <w:lang w:val="en"/>
        </w:rPr>
        <w:t xml:space="preserve"> level </w:t>
      </w:r>
      <w:r w:rsidR="00D9694B">
        <w:rPr>
          <w:sz w:val="22"/>
          <w:szCs w:val="22"/>
          <w:lang w:val="en"/>
        </w:rPr>
        <w:t>at</w:t>
      </w:r>
      <w:r w:rsidRPr="00C129D1">
        <w:rPr>
          <w:sz w:val="22"/>
          <w:szCs w:val="22"/>
          <w:lang w:val="en"/>
        </w:rPr>
        <w:t xml:space="preserve"> </w:t>
      </w:r>
      <w:r w:rsidR="00B52C55" w:rsidRPr="00C129D1">
        <w:rPr>
          <w:sz w:val="22"/>
          <w:szCs w:val="22"/>
          <w:lang w:val="en"/>
        </w:rPr>
        <w:t>€17.7 billion</w:t>
      </w:r>
      <w:r w:rsidR="005758EF" w:rsidRPr="00C129D1">
        <w:rPr>
          <w:sz w:val="22"/>
          <w:szCs w:val="22"/>
          <w:lang w:val="en"/>
        </w:rPr>
        <w:t xml:space="preserve"> up €1 billion compared to </w:t>
      </w:r>
      <w:r w:rsidR="005C5DDB">
        <w:rPr>
          <w:sz w:val="22"/>
          <w:szCs w:val="22"/>
          <w:lang w:val="en"/>
        </w:rPr>
        <w:t>December 31, 2021.</w:t>
      </w:r>
    </w:p>
    <w:p w14:paraId="1DEF35A1" w14:textId="08D96752" w:rsidR="003C6158" w:rsidRDefault="003C6158" w:rsidP="006817C7">
      <w:pPr>
        <w:spacing w:after="240" w:line="240" w:lineRule="auto"/>
        <w:jc w:val="both"/>
        <w:rPr>
          <w:sz w:val="22"/>
          <w:szCs w:val="22"/>
          <w:lang w:val="en"/>
        </w:rPr>
      </w:pPr>
      <w:r w:rsidRPr="00D63454">
        <w:rPr>
          <w:sz w:val="22"/>
          <w:szCs w:val="22"/>
          <w:lang w:val="en"/>
        </w:rPr>
        <w:t xml:space="preserve">As announced </w:t>
      </w:r>
      <w:r w:rsidR="00F95D1D">
        <w:rPr>
          <w:sz w:val="22"/>
          <w:szCs w:val="22"/>
          <w:lang w:val="en"/>
        </w:rPr>
        <w:t>during its</w:t>
      </w:r>
      <w:r w:rsidRPr="00D63454">
        <w:rPr>
          <w:sz w:val="22"/>
          <w:szCs w:val="22"/>
          <w:lang w:val="en"/>
        </w:rPr>
        <w:t xml:space="preserve"> C</w:t>
      </w:r>
      <w:r>
        <w:rPr>
          <w:sz w:val="22"/>
          <w:szCs w:val="22"/>
          <w:lang w:val="en"/>
        </w:rPr>
        <w:t xml:space="preserve">apital </w:t>
      </w:r>
      <w:r w:rsidRPr="00D63454">
        <w:rPr>
          <w:sz w:val="22"/>
          <w:szCs w:val="22"/>
          <w:lang w:val="en"/>
        </w:rPr>
        <w:t>M</w:t>
      </w:r>
      <w:r>
        <w:rPr>
          <w:sz w:val="22"/>
          <w:szCs w:val="22"/>
          <w:lang w:val="en"/>
        </w:rPr>
        <w:t xml:space="preserve">arket </w:t>
      </w:r>
      <w:r w:rsidRPr="00D63454">
        <w:rPr>
          <w:sz w:val="22"/>
          <w:szCs w:val="22"/>
          <w:lang w:val="en"/>
        </w:rPr>
        <w:t>D</w:t>
      </w:r>
      <w:r>
        <w:rPr>
          <w:sz w:val="22"/>
          <w:szCs w:val="22"/>
          <w:lang w:val="en"/>
        </w:rPr>
        <w:t>ay</w:t>
      </w:r>
      <w:r w:rsidR="00E83B60">
        <w:rPr>
          <w:sz w:val="22"/>
          <w:szCs w:val="22"/>
          <w:lang w:val="en"/>
        </w:rPr>
        <w:t xml:space="preserve"> o</w:t>
      </w:r>
      <w:r w:rsidR="00F95D1D">
        <w:rPr>
          <w:sz w:val="22"/>
          <w:szCs w:val="22"/>
          <w:lang w:val="en"/>
        </w:rPr>
        <w:t>n</w:t>
      </w:r>
      <w:r w:rsidR="00E83B60">
        <w:rPr>
          <w:sz w:val="22"/>
          <w:szCs w:val="22"/>
          <w:lang w:val="en"/>
        </w:rPr>
        <w:t xml:space="preserve"> November 8</w:t>
      </w:r>
      <w:r w:rsidR="00F95D1D">
        <w:rPr>
          <w:sz w:val="22"/>
          <w:szCs w:val="22"/>
          <w:lang w:val="en"/>
        </w:rPr>
        <w:t xml:space="preserve">, </w:t>
      </w:r>
      <w:r w:rsidR="00D158EC">
        <w:rPr>
          <w:sz w:val="22"/>
          <w:szCs w:val="22"/>
          <w:lang w:val="en"/>
        </w:rPr>
        <w:t>2022,</w:t>
      </w:r>
      <w:r w:rsidRPr="00D63454">
        <w:rPr>
          <w:sz w:val="22"/>
          <w:szCs w:val="22"/>
          <w:lang w:val="en"/>
        </w:rPr>
        <w:t xml:space="preserve"> Renault Group</w:t>
      </w:r>
      <w:r>
        <w:rPr>
          <w:sz w:val="22"/>
          <w:szCs w:val="22"/>
          <w:lang w:val="en"/>
        </w:rPr>
        <w:t xml:space="preserve"> </w:t>
      </w:r>
      <w:r w:rsidRPr="0000660E">
        <w:rPr>
          <w:sz w:val="22"/>
          <w:szCs w:val="22"/>
          <w:lang w:val="en"/>
        </w:rPr>
        <w:t>is willing</w:t>
      </w:r>
      <w:r>
        <w:rPr>
          <w:sz w:val="22"/>
          <w:szCs w:val="22"/>
          <w:lang w:val="en"/>
        </w:rPr>
        <w:t xml:space="preserve"> to share value creation with its sta</w:t>
      </w:r>
      <w:r w:rsidR="00B92A5E">
        <w:rPr>
          <w:sz w:val="22"/>
          <w:szCs w:val="22"/>
          <w:lang w:val="en"/>
        </w:rPr>
        <w:t xml:space="preserve">keholders </w:t>
      </w:r>
      <w:r w:rsidR="00FB6CD2">
        <w:rPr>
          <w:sz w:val="22"/>
          <w:szCs w:val="22"/>
          <w:lang w:val="en"/>
        </w:rPr>
        <w:t>throug</w:t>
      </w:r>
      <w:r w:rsidR="00E30ADD">
        <w:rPr>
          <w:sz w:val="22"/>
          <w:szCs w:val="22"/>
          <w:lang w:val="en"/>
        </w:rPr>
        <w:t>h</w:t>
      </w:r>
      <w:r w:rsidR="00441BF7">
        <w:rPr>
          <w:sz w:val="22"/>
          <w:szCs w:val="22"/>
          <w:lang w:val="en"/>
        </w:rPr>
        <w:t xml:space="preserve"> an</w:t>
      </w:r>
      <w:r w:rsidR="00E30ADD">
        <w:rPr>
          <w:sz w:val="22"/>
          <w:szCs w:val="22"/>
          <w:lang w:val="en"/>
        </w:rPr>
        <w:t xml:space="preserve"> </w:t>
      </w:r>
      <w:r w:rsidR="00307F4F">
        <w:rPr>
          <w:sz w:val="22"/>
          <w:szCs w:val="22"/>
          <w:lang w:val="en"/>
        </w:rPr>
        <w:t>employee shar</w:t>
      </w:r>
      <w:r w:rsidR="00517875">
        <w:rPr>
          <w:sz w:val="22"/>
          <w:szCs w:val="22"/>
          <w:lang w:val="en"/>
        </w:rPr>
        <w:t xml:space="preserve">eholding </w:t>
      </w:r>
      <w:r w:rsidR="005B27B2">
        <w:rPr>
          <w:sz w:val="22"/>
          <w:szCs w:val="22"/>
          <w:lang w:val="en"/>
        </w:rPr>
        <w:t xml:space="preserve">plan and </w:t>
      </w:r>
      <w:r w:rsidR="00053516">
        <w:rPr>
          <w:sz w:val="22"/>
          <w:szCs w:val="22"/>
          <w:lang w:val="en"/>
        </w:rPr>
        <w:t xml:space="preserve">by reinstating </w:t>
      </w:r>
      <w:r w:rsidR="008D2EA8">
        <w:rPr>
          <w:sz w:val="22"/>
          <w:szCs w:val="22"/>
          <w:lang w:val="en"/>
        </w:rPr>
        <w:t>a dividend</w:t>
      </w:r>
      <w:r w:rsidR="00B42608">
        <w:rPr>
          <w:sz w:val="22"/>
          <w:szCs w:val="22"/>
          <w:lang w:val="en"/>
        </w:rPr>
        <w:t>.</w:t>
      </w:r>
    </w:p>
    <w:p w14:paraId="33119D9E" w14:textId="0B3D4934" w:rsidR="00070C42" w:rsidRPr="00BF1DDC" w:rsidRDefault="00A3370D" w:rsidP="00BF1DDC">
      <w:pPr>
        <w:keepNext/>
        <w:spacing w:before="360" w:after="120" w:line="240" w:lineRule="auto"/>
        <w:jc w:val="both"/>
        <w:outlineLvl w:val="0"/>
        <w:rPr>
          <w:rFonts w:ascii="Renault Group" w:eastAsia="Renault Group" w:hAnsi="Renault Group" w:cs="Times New Roman"/>
          <w:color w:val="988C7F"/>
          <w:sz w:val="32"/>
          <w:szCs w:val="32"/>
          <w:lang w:val="en"/>
        </w:rPr>
      </w:pPr>
      <w:r>
        <w:rPr>
          <w:rFonts w:ascii="Renault Group" w:eastAsia="Renault Group" w:hAnsi="Renault Group" w:cs="Times New Roman"/>
          <w:color w:val="988C7F"/>
          <w:sz w:val="32"/>
          <w:szCs w:val="32"/>
          <w:lang w:val="en"/>
        </w:rPr>
        <w:t xml:space="preserve">Renaulution </w:t>
      </w:r>
      <w:r w:rsidR="00070C42" w:rsidRPr="00BF1DDC">
        <w:rPr>
          <w:rFonts w:ascii="Renault Group" w:eastAsia="Renault Group" w:hAnsi="Renault Group" w:cs="Times New Roman"/>
          <w:color w:val="988C7F"/>
          <w:sz w:val="32"/>
          <w:szCs w:val="32"/>
          <w:lang w:val="en"/>
        </w:rPr>
        <w:t xml:space="preserve">Shareplan </w:t>
      </w:r>
    </w:p>
    <w:p w14:paraId="64B5754F" w14:textId="397BEA8F" w:rsidR="00F307B9" w:rsidRPr="00FB13D0" w:rsidRDefault="00F307B9" w:rsidP="00A3370D">
      <w:pPr>
        <w:spacing w:line="240" w:lineRule="auto"/>
        <w:jc w:val="both"/>
        <w:rPr>
          <w:sz w:val="22"/>
          <w:szCs w:val="22"/>
          <w:lang w:val="en"/>
        </w:rPr>
      </w:pPr>
      <w:r w:rsidRPr="00FB13D0">
        <w:rPr>
          <w:sz w:val="22"/>
          <w:szCs w:val="22"/>
          <w:lang w:val="en"/>
        </w:rPr>
        <w:t xml:space="preserve">Renault Group has started taking steps to increase the share of employees in its </w:t>
      </w:r>
      <w:r w:rsidR="003013CF">
        <w:rPr>
          <w:sz w:val="22"/>
          <w:szCs w:val="22"/>
          <w:lang w:val="en"/>
        </w:rPr>
        <w:t>capital</w:t>
      </w:r>
      <w:r w:rsidR="00C828B8">
        <w:rPr>
          <w:sz w:val="22"/>
          <w:szCs w:val="22"/>
          <w:lang w:val="en"/>
        </w:rPr>
        <w:t xml:space="preserve"> to reach 10% by 2030</w:t>
      </w:r>
      <w:r w:rsidRPr="00FB13D0">
        <w:rPr>
          <w:sz w:val="22"/>
          <w:szCs w:val="22"/>
          <w:lang w:val="en"/>
        </w:rPr>
        <w:t xml:space="preserve">. </w:t>
      </w:r>
    </w:p>
    <w:p w14:paraId="7EE18204" w14:textId="7CE8CFA4" w:rsidR="00BF1DDC" w:rsidRDefault="00B43228" w:rsidP="00A3370D">
      <w:pPr>
        <w:spacing w:line="240" w:lineRule="auto"/>
        <w:jc w:val="both"/>
        <w:rPr>
          <w:sz w:val="22"/>
          <w:szCs w:val="22"/>
          <w:lang w:val="en"/>
        </w:rPr>
      </w:pPr>
      <w:r w:rsidRPr="00B43228">
        <w:rPr>
          <w:sz w:val="22"/>
          <w:szCs w:val="22"/>
          <w:lang w:val="en"/>
        </w:rPr>
        <w:t>More than 95,000 employees benefit</w:t>
      </w:r>
      <w:r w:rsidR="007E6C89">
        <w:rPr>
          <w:sz w:val="22"/>
          <w:szCs w:val="22"/>
          <w:lang w:val="en"/>
        </w:rPr>
        <w:t>ted</w:t>
      </w:r>
      <w:r w:rsidRPr="00B43228">
        <w:rPr>
          <w:sz w:val="22"/>
          <w:szCs w:val="22"/>
          <w:lang w:val="en"/>
        </w:rPr>
        <w:t xml:space="preserve"> from 6 free shares. Among them, more than 40,000 also subscribed to shares at a preferential price of 22.02 euros</w:t>
      </w:r>
      <w:r w:rsidR="00B3292D">
        <w:rPr>
          <w:sz w:val="22"/>
          <w:szCs w:val="22"/>
          <w:lang w:val="en"/>
        </w:rPr>
        <w:t xml:space="preserve"> per share</w:t>
      </w:r>
      <w:r w:rsidRPr="00B43228">
        <w:rPr>
          <w:sz w:val="22"/>
          <w:szCs w:val="22"/>
          <w:lang w:val="en"/>
        </w:rPr>
        <w:t xml:space="preserve">. </w:t>
      </w:r>
    </w:p>
    <w:p w14:paraId="7E69237A" w14:textId="0FAFB486" w:rsidR="003E740E" w:rsidRDefault="00B43228" w:rsidP="00052EF3">
      <w:pPr>
        <w:spacing w:line="240" w:lineRule="auto"/>
        <w:jc w:val="both"/>
        <w:rPr>
          <w:sz w:val="22"/>
          <w:szCs w:val="22"/>
          <w:lang w:val="en"/>
        </w:rPr>
      </w:pPr>
      <w:r w:rsidRPr="00B43228">
        <w:rPr>
          <w:sz w:val="22"/>
          <w:szCs w:val="22"/>
          <w:lang w:val="en"/>
        </w:rPr>
        <w:t>In total, with nearly 2.7 million additional shares held by employees, the Renaulution Shareplan operation</w:t>
      </w:r>
      <w:r w:rsidR="00AD12CF" w:rsidRPr="00B43228">
        <w:rPr>
          <w:sz w:val="22"/>
          <w:szCs w:val="22"/>
          <w:lang w:val="en"/>
        </w:rPr>
        <w:t xml:space="preserve"> </w:t>
      </w:r>
      <w:r w:rsidRPr="00B43228">
        <w:rPr>
          <w:sz w:val="22"/>
          <w:szCs w:val="22"/>
          <w:lang w:val="en"/>
        </w:rPr>
        <w:t>represents 0.9% of Renault</w:t>
      </w:r>
      <w:r w:rsidR="004D491B">
        <w:rPr>
          <w:sz w:val="22"/>
          <w:szCs w:val="22"/>
          <w:lang w:val="en"/>
        </w:rPr>
        <w:t xml:space="preserve"> Group</w:t>
      </w:r>
      <w:r w:rsidRPr="00B43228">
        <w:rPr>
          <w:sz w:val="22"/>
          <w:szCs w:val="22"/>
          <w:lang w:val="en"/>
        </w:rPr>
        <w:t>'s capital</w:t>
      </w:r>
      <w:r w:rsidR="005277C1">
        <w:rPr>
          <w:sz w:val="22"/>
          <w:szCs w:val="22"/>
          <w:lang w:val="en"/>
        </w:rPr>
        <w:t xml:space="preserve"> and e</w:t>
      </w:r>
      <w:r w:rsidRPr="00B43228">
        <w:rPr>
          <w:sz w:val="22"/>
          <w:szCs w:val="22"/>
          <w:lang w:val="en"/>
        </w:rPr>
        <w:t>mployees hold around 4.7% of the capital after the operation.</w:t>
      </w:r>
    </w:p>
    <w:p w14:paraId="6AABAD80" w14:textId="0287805E" w:rsidR="00070C42" w:rsidRPr="003858B9" w:rsidRDefault="00070C42" w:rsidP="00070C42">
      <w:pPr>
        <w:keepNext/>
        <w:spacing w:before="360" w:after="120" w:line="240" w:lineRule="auto"/>
        <w:jc w:val="both"/>
        <w:outlineLvl w:val="0"/>
        <w:rPr>
          <w:rFonts w:ascii="Renault Group" w:eastAsia="Renault Group" w:hAnsi="Renault Group" w:cs="Times New Roman"/>
          <w:color w:val="988C7F"/>
          <w:sz w:val="32"/>
          <w:szCs w:val="32"/>
          <w:lang w:val="en-US"/>
        </w:rPr>
      </w:pPr>
      <w:bookmarkStart w:id="2" w:name="_Hlk95302262"/>
      <w:bookmarkEnd w:id="0"/>
      <w:r>
        <w:rPr>
          <w:rFonts w:ascii="Renault Group" w:eastAsia="Renault Group" w:hAnsi="Renault Group" w:cs="Times New Roman"/>
          <w:color w:val="988C7F"/>
          <w:sz w:val="32"/>
          <w:szCs w:val="32"/>
          <w:lang w:val="en"/>
        </w:rPr>
        <w:t xml:space="preserve">Dividend </w:t>
      </w:r>
    </w:p>
    <w:p w14:paraId="3B4D398F" w14:textId="24E5D685" w:rsidR="00F86A8D" w:rsidRPr="00FD65C7" w:rsidRDefault="00F86A8D" w:rsidP="009E7499">
      <w:pPr>
        <w:pStyle w:val="xmsonormal"/>
        <w:jc w:val="both"/>
        <w:rPr>
          <w:rFonts w:asciiTheme="minorHAnsi" w:hAnsiTheme="minorHAnsi" w:cstheme="minorBidi"/>
          <w:lang w:val="en-US" w:eastAsia="en-US"/>
        </w:rPr>
      </w:pPr>
      <w:r>
        <w:rPr>
          <w:rFonts w:asciiTheme="minorHAnsi" w:hAnsiTheme="minorHAnsi" w:cstheme="minorBidi"/>
          <w:lang w:val="en" w:eastAsia="en-US"/>
        </w:rPr>
        <w:t xml:space="preserve">The </w:t>
      </w:r>
      <w:r w:rsidR="0080184D">
        <w:rPr>
          <w:rFonts w:asciiTheme="minorHAnsi" w:hAnsiTheme="minorHAnsi" w:cstheme="minorBidi"/>
          <w:lang w:val="en" w:eastAsia="en-US"/>
        </w:rPr>
        <w:t xml:space="preserve">proposed </w:t>
      </w:r>
      <w:r w:rsidR="0011144E" w:rsidRPr="00834801">
        <w:rPr>
          <w:rFonts w:asciiTheme="minorHAnsi" w:hAnsiTheme="minorHAnsi" w:cstheme="minorBidi"/>
          <w:lang w:val="en" w:eastAsia="en-US"/>
        </w:rPr>
        <w:t xml:space="preserve">dividend </w:t>
      </w:r>
      <w:r w:rsidR="0080184D">
        <w:rPr>
          <w:rFonts w:asciiTheme="minorHAnsi" w:hAnsiTheme="minorHAnsi" w:cstheme="minorBidi"/>
          <w:lang w:val="en" w:eastAsia="en-US"/>
        </w:rPr>
        <w:t>for</w:t>
      </w:r>
      <w:r w:rsidR="00FD65C7">
        <w:rPr>
          <w:rFonts w:asciiTheme="minorHAnsi" w:hAnsiTheme="minorHAnsi" w:cstheme="minorBidi"/>
          <w:lang w:val="en" w:eastAsia="en-US"/>
        </w:rPr>
        <w:t xml:space="preserve"> the </w:t>
      </w:r>
      <w:r w:rsidR="00455EA2">
        <w:rPr>
          <w:rFonts w:asciiTheme="minorHAnsi" w:hAnsiTheme="minorHAnsi" w:cstheme="minorBidi"/>
          <w:lang w:val="en" w:eastAsia="en-US"/>
        </w:rPr>
        <w:t>financial year</w:t>
      </w:r>
      <w:r w:rsidR="00FD65C7">
        <w:rPr>
          <w:rFonts w:asciiTheme="minorHAnsi" w:hAnsiTheme="minorHAnsi" w:cstheme="minorBidi"/>
          <w:lang w:val="en" w:eastAsia="en-US"/>
        </w:rPr>
        <w:t xml:space="preserve"> </w:t>
      </w:r>
      <w:r w:rsidR="007D4FA7">
        <w:rPr>
          <w:rFonts w:asciiTheme="minorHAnsi" w:hAnsiTheme="minorHAnsi" w:cstheme="minorBidi"/>
          <w:lang w:val="en" w:eastAsia="en-US"/>
        </w:rPr>
        <w:t xml:space="preserve">2022 </w:t>
      </w:r>
      <w:r w:rsidR="005C4E22">
        <w:rPr>
          <w:rFonts w:asciiTheme="minorHAnsi" w:hAnsiTheme="minorHAnsi" w:cstheme="minorBidi"/>
          <w:lang w:val="en" w:eastAsia="en-US"/>
        </w:rPr>
        <w:t>is</w:t>
      </w:r>
      <w:r w:rsidR="007D4FA7">
        <w:rPr>
          <w:rFonts w:asciiTheme="minorHAnsi" w:hAnsiTheme="minorHAnsi" w:cstheme="minorBidi"/>
          <w:lang w:val="en" w:eastAsia="en-US"/>
        </w:rPr>
        <w:t xml:space="preserve"> </w:t>
      </w:r>
      <w:r w:rsidR="0011144E" w:rsidRPr="00834801">
        <w:rPr>
          <w:rFonts w:asciiTheme="minorHAnsi" w:hAnsiTheme="minorHAnsi" w:cstheme="minorBidi"/>
          <w:lang w:val="en" w:eastAsia="en-US"/>
        </w:rPr>
        <w:t>€</w:t>
      </w:r>
      <w:r w:rsidR="00DC0368" w:rsidRPr="00834801">
        <w:rPr>
          <w:rFonts w:asciiTheme="minorHAnsi" w:hAnsiTheme="minorHAnsi" w:cstheme="minorBidi"/>
          <w:lang w:val="en" w:eastAsia="en-US"/>
        </w:rPr>
        <w:t>0</w:t>
      </w:r>
      <w:r w:rsidR="001528EB" w:rsidRPr="00834801">
        <w:rPr>
          <w:rFonts w:asciiTheme="minorHAnsi" w:hAnsiTheme="minorHAnsi" w:cstheme="minorBidi"/>
          <w:lang w:val="en" w:eastAsia="en-US"/>
        </w:rPr>
        <w:t>.</w:t>
      </w:r>
      <w:r w:rsidR="00DC0368" w:rsidRPr="00834801">
        <w:rPr>
          <w:rFonts w:asciiTheme="minorHAnsi" w:hAnsiTheme="minorHAnsi" w:cstheme="minorBidi"/>
          <w:lang w:val="en" w:eastAsia="en-US"/>
        </w:rPr>
        <w:t>2</w:t>
      </w:r>
      <w:r w:rsidR="00C261E3" w:rsidRPr="00834801">
        <w:rPr>
          <w:rFonts w:asciiTheme="minorHAnsi" w:hAnsiTheme="minorHAnsi" w:cstheme="minorBidi"/>
          <w:lang w:val="en" w:eastAsia="en-US"/>
        </w:rPr>
        <w:t>5</w:t>
      </w:r>
      <w:r w:rsidR="0011144E" w:rsidRPr="00834801">
        <w:rPr>
          <w:rFonts w:asciiTheme="minorHAnsi" w:hAnsiTheme="minorHAnsi" w:cstheme="minorBidi"/>
          <w:lang w:val="en" w:eastAsia="en-US"/>
        </w:rPr>
        <w:t xml:space="preserve"> per share</w:t>
      </w:r>
      <w:r w:rsidR="007D4FA7">
        <w:rPr>
          <w:rFonts w:asciiTheme="minorHAnsi" w:hAnsiTheme="minorHAnsi" w:cstheme="minorBidi"/>
          <w:lang w:val="en" w:eastAsia="en-US"/>
        </w:rPr>
        <w:t>.</w:t>
      </w:r>
      <w:r w:rsidR="004C7560">
        <w:rPr>
          <w:rFonts w:asciiTheme="minorHAnsi" w:hAnsiTheme="minorHAnsi" w:cstheme="minorBidi"/>
          <w:lang w:val="en" w:eastAsia="en-US"/>
        </w:rPr>
        <w:t xml:space="preserve"> </w:t>
      </w:r>
      <w:r w:rsidR="004C7560" w:rsidRPr="00750378">
        <w:rPr>
          <w:rFonts w:asciiTheme="minorHAnsi" w:hAnsiTheme="minorHAnsi" w:cstheme="minorBidi"/>
          <w:lang w:val="en" w:eastAsia="en-US"/>
        </w:rPr>
        <w:t>It w</w:t>
      </w:r>
      <w:r w:rsidR="00095813" w:rsidRPr="00750378">
        <w:rPr>
          <w:rFonts w:asciiTheme="minorHAnsi" w:hAnsiTheme="minorHAnsi" w:cstheme="minorBidi"/>
          <w:lang w:val="en" w:eastAsia="en-US"/>
        </w:rPr>
        <w:t>ould</w:t>
      </w:r>
      <w:r w:rsidR="004C7560" w:rsidRPr="00750378">
        <w:rPr>
          <w:rFonts w:asciiTheme="minorHAnsi" w:hAnsiTheme="minorHAnsi" w:cstheme="minorBidi"/>
          <w:lang w:val="en" w:eastAsia="en-US"/>
        </w:rPr>
        <w:t xml:space="preserve"> be </w:t>
      </w:r>
      <w:r w:rsidR="005C4E22" w:rsidRPr="00750378">
        <w:rPr>
          <w:rFonts w:asciiTheme="minorHAnsi" w:hAnsiTheme="minorHAnsi" w:cstheme="minorBidi"/>
          <w:lang w:val="en" w:eastAsia="en-US"/>
        </w:rPr>
        <w:t>paid</w:t>
      </w:r>
      <w:r w:rsidR="005C4E22">
        <w:rPr>
          <w:rFonts w:asciiTheme="minorHAnsi" w:hAnsiTheme="minorHAnsi" w:cstheme="minorBidi"/>
          <w:lang w:val="en" w:eastAsia="en-US"/>
        </w:rPr>
        <w:t xml:space="preserve"> </w:t>
      </w:r>
      <w:r w:rsidR="004C7560">
        <w:rPr>
          <w:rFonts w:asciiTheme="minorHAnsi" w:hAnsiTheme="minorHAnsi" w:cstheme="minorBidi"/>
          <w:lang w:val="en" w:eastAsia="en-US"/>
        </w:rPr>
        <w:t>fully</w:t>
      </w:r>
      <w:r w:rsidR="006D2A7A" w:rsidRPr="00834801">
        <w:rPr>
          <w:rFonts w:asciiTheme="minorHAnsi" w:hAnsiTheme="minorHAnsi" w:cstheme="minorBidi"/>
          <w:lang w:val="en" w:eastAsia="en-US"/>
        </w:rPr>
        <w:t xml:space="preserve"> in cash</w:t>
      </w:r>
      <w:r w:rsidR="004C7560" w:rsidRPr="004C7560">
        <w:rPr>
          <w:rFonts w:asciiTheme="minorHAnsi" w:hAnsiTheme="minorHAnsi" w:cstheme="minorBidi"/>
          <w:lang w:val="en" w:eastAsia="en-US"/>
        </w:rPr>
        <w:t xml:space="preserve"> </w:t>
      </w:r>
      <w:r w:rsidR="004C7560">
        <w:rPr>
          <w:rFonts w:asciiTheme="minorHAnsi" w:hAnsiTheme="minorHAnsi" w:cstheme="minorBidi"/>
          <w:lang w:val="en" w:eastAsia="en-US"/>
        </w:rPr>
        <w:t xml:space="preserve">and </w:t>
      </w:r>
      <w:r w:rsidR="00D21076">
        <w:rPr>
          <w:rFonts w:asciiTheme="minorHAnsi" w:hAnsiTheme="minorHAnsi" w:cstheme="minorBidi"/>
          <w:lang w:val="en" w:eastAsia="en-US"/>
        </w:rPr>
        <w:t xml:space="preserve">will be </w:t>
      </w:r>
      <w:r w:rsidR="004C7560" w:rsidRPr="00546DDC">
        <w:rPr>
          <w:rFonts w:asciiTheme="minorHAnsi" w:hAnsiTheme="minorHAnsi" w:cstheme="minorBidi"/>
          <w:lang w:val="en" w:eastAsia="en-US"/>
        </w:rPr>
        <w:t>submitted for approval at the Annual General Meeting on May</w:t>
      </w:r>
      <w:r w:rsidR="00873AA9">
        <w:rPr>
          <w:rFonts w:asciiTheme="minorHAnsi" w:hAnsiTheme="minorHAnsi" w:cstheme="minorBidi"/>
          <w:lang w:val="en" w:eastAsia="en-US"/>
        </w:rPr>
        <w:t xml:space="preserve"> 11</w:t>
      </w:r>
      <w:r w:rsidR="00A6792B">
        <w:rPr>
          <w:rFonts w:asciiTheme="minorHAnsi" w:hAnsiTheme="minorHAnsi" w:cstheme="minorBidi"/>
          <w:lang w:val="en" w:eastAsia="en-US"/>
        </w:rPr>
        <w:t xml:space="preserve">, </w:t>
      </w:r>
      <w:r w:rsidR="004C7560" w:rsidRPr="00546DDC">
        <w:rPr>
          <w:rFonts w:asciiTheme="minorHAnsi" w:hAnsiTheme="minorHAnsi" w:cstheme="minorBidi"/>
          <w:lang w:val="en" w:eastAsia="en-US"/>
        </w:rPr>
        <w:t>2023</w:t>
      </w:r>
      <w:r w:rsidR="004C7560">
        <w:rPr>
          <w:rFonts w:asciiTheme="minorHAnsi" w:hAnsiTheme="minorHAnsi" w:cstheme="minorBidi"/>
          <w:lang w:val="en" w:eastAsia="en-US"/>
        </w:rPr>
        <w:t xml:space="preserve">. The </w:t>
      </w:r>
      <w:r w:rsidR="004C7560" w:rsidRPr="00834801">
        <w:rPr>
          <w:rFonts w:asciiTheme="minorHAnsi" w:hAnsiTheme="minorHAnsi" w:cstheme="minorBidi"/>
          <w:lang w:val="en" w:eastAsia="en-US"/>
        </w:rPr>
        <w:t>ex-dividend</w:t>
      </w:r>
      <w:r w:rsidR="004C7560">
        <w:rPr>
          <w:rFonts w:asciiTheme="minorHAnsi" w:hAnsiTheme="minorHAnsi" w:cstheme="minorBidi"/>
          <w:lang w:val="en" w:eastAsia="en-US"/>
        </w:rPr>
        <w:t xml:space="preserve"> date </w:t>
      </w:r>
      <w:r w:rsidR="00076C5E">
        <w:rPr>
          <w:rFonts w:asciiTheme="minorHAnsi" w:hAnsiTheme="minorHAnsi" w:cstheme="minorBidi"/>
          <w:lang w:val="en" w:eastAsia="en-US"/>
        </w:rPr>
        <w:t>is scheduled</w:t>
      </w:r>
      <w:r w:rsidR="004C7560">
        <w:rPr>
          <w:rFonts w:asciiTheme="minorHAnsi" w:hAnsiTheme="minorHAnsi" w:cstheme="minorBidi"/>
          <w:lang w:val="en" w:eastAsia="en-US"/>
        </w:rPr>
        <w:t xml:space="preserve"> </w:t>
      </w:r>
      <w:r w:rsidR="00724122">
        <w:rPr>
          <w:rFonts w:asciiTheme="minorHAnsi" w:hAnsiTheme="minorHAnsi" w:cstheme="minorBidi"/>
          <w:lang w:val="en" w:eastAsia="en-US"/>
        </w:rPr>
        <w:t>on</w:t>
      </w:r>
      <w:r w:rsidR="008D4F73">
        <w:rPr>
          <w:rFonts w:asciiTheme="minorHAnsi" w:hAnsiTheme="minorHAnsi" w:cstheme="minorBidi"/>
          <w:lang w:val="en" w:eastAsia="en-US"/>
        </w:rPr>
        <w:t xml:space="preserve"> </w:t>
      </w:r>
      <w:r w:rsidR="00DE3E1B" w:rsidRPr="00834801">
        <w:rPr>
          <w:rFonts w:asciiTheme="minorHAnsi" w:hAnsiTheme="minorHAnsi" w:cstheme="minorBidi"/>
          <w:lang w:val="en" w:eastAsia="en-US"/>
        </w:rPr>
        <w:t xml:space="preserve">May </w:t>
      </w:r>
      <w:r w:rsidR="00724122">
        <w:rPr>
          <w:rFonts w:asciiTheme="minorHAnsi" w:hAnsiTheme="minorHAnsi" w:cstheme="minorBidi"/>
          <w:lang w:val="en" w:eastAsia="en-US"/>
        </w:rPr>
        <w:t>17</w:t>
      </w:r>
      <w:r w:rsidR="00A6792B">
        <w:rPr>
          <w:rFonts w:asciiTheme="minorHAnsi" w:hAnsiTheme="minorHAnsi" w:cstheme="minorBidi"/>
          <w:lang w:val="en" w:eastAsia="en-US"/>
        </w:rPr>
        <w:t xml:space="preserve">, </w:t>
      </w:r>
      <w:r w:rsidR="00F5375A" w:rsidRPr="00834801">
        <w:rPr>
          <w:rFonts w:asciiTheme="minorHAnsi" w:hAnsiTheme="minorHAnsi" w:cstheme="minorBidi"/>
          <w:lang w:val="en" w:eastAsia="en-US"/>
        </w:rPr>
        <w:t xml:space="preserve">2023 </w:t>
      </w:r>
      <w:r w:rsidR="00FD65C7">
        <w:rPr>
          <w:rFonts w:asciiTheme="minorHAnsi" w:hAnsiTheme="minorHAnsi" w:cstheme="minorBidi"/>
          <w:lang w:val="en" w:eastAsia="en-US"/>
        </w:rPr>
        <w:t>and the payment date</w:t>
      </w:r>
      <w:r w:rsidR="00724122">
        <w:rPr>
          <w:rFonts w:asciiTheme="minorHAnsi" w:hAnsiTheme="minorHAnsi" w:cstheme="minorBidi"/>
          <w:lang w:val="en" w:eastAsia="en-US"/>
        </w:rPr>
        <w:t xml:space="preserve"> on</w:t>
      </w:r>
      <w:r w:rsidR="00010A02">
        <w:rPr>
          <w:rFonts w:asciiTheme="minorHAnsi" w:hAnsiTheme="minorHAnsi" w:cstheme="minorBidi"/>
          <w:lang w:val="en" w:eastAsia="en-US"/>
        </w:rPr>
        <w:t xml:space="preserve"> </w:t>
      </w:r>
      <w:r w:rsidR="00DE3E1B" w:rsidRPr="00834801">
        <w:rPr>
          <w:rFonts w:asciiTheme="minorHAnsi" w:hAnsiTheme="minorHAnsi" w:cstheme="minorBidi"/>
          <w:lang w:val="en" w:eastAsia="en-US"/>
        </w:rPr>
        <w:t xml:space="preserve">May </w:t>
      </w:r>
      <w:r w:rsidR="00724122">
        <w:rPr>
          <w:rFonts w:asciiTheme="minorHAnsi" w:hAnsiTheme="minorHAnsi" w:cstheme="minorBidi"/>
          <w:lang w:val="en" w:eastAsia="en-US"/>
        </w:rPr>
        <w:t>19</w:t>
      </w:r>
      <w:r w:rsidR="004E7238">
        <w:rPr>
          <w:rFonts w:asciiTheme="minorHAnsi" w:hAnsiTheme="minorHAnsi" w:cstheme="minorBidi"/>
          <w:lang w:val="en" w:eastAsia="en-US"/>
        </w:rPr>
        <w:t xml:space="preserve">, </w:t>
      </w:r>
      <w:r w:rsidR="00DE3E1B" w:rsidRPr="00834801">
        <w:rPr>
          <w:rFonts w:asciiTheme="minorHAnsi" w:hAnsiTheme="minorHAnsi" w:cstheme="minorBidi"/>
          <w:lang w:val="en" w:eastAsia="en-US"/>
        </w:rPr>
        <w:t>2023</w:t>
      </w:r>
      <w:r w:rsidR="00FD65C7">
        <w:rPr>
          <w:rFonts w:asciiTheme="minorHAnsi" w:hAnsiTheme="minorHAnsi" w:cstheme="minorBidi"/>
          <w:lang w:val="en" w:eastAsia="en-US"/>
        </w:rPr>
        <w:t xml:space="preserve">. </w:t>
      </w:r>
      <w:r w:rsidR="0020578B" w:rsidRPr="00546DDC">
        <w:rPr>
          <w:rFonts w:asciiTheme="minorHAnsi" w:hAnsiTheme="minorHAnsi" w:cstheme="minorBidi"/>
          <w:lang w:val="en" w:eastAsia="en-US"/>
        </w:rPr>
        <w:t xml:space="preserve"> </w:t>
      </w:r>
    </w:p>
    <w:p w14:paraId="0D41960A" w14:textId="427E23CA" w:rsidR="0079015D" w:rsidRPr="00592914" w:rsidRDefault="00A02E66" w:rsidP="00592914">
      <w:pPr>
        <w:spacing w:line="240" w:lineRule="auto"/>
        <w:jc w:val="both"/>
        <w:rPr>
          <w:sz w:val="22"/>
          <w:szCs w:val="22"/>
          <w:lang w:val="en"/>
        </w:rPr>
      </w:pPr>
      <w:r>
        <w:rPr>
          <w:sz w:val="22"/>
          <w:szCs w:val="22"/>
          <w:lang w:val="en"/>
        </w:rPr>
        <w:t>A</w:t>
      </w:r>
      <w:r w:rsidR="007E667F">
        <w:rPr>
          <w:sz w:val="22"/>
          <w:szCs w:val="22"/>
          <w:lang w:val="en"/>
        </w:rPr>
        <w:t>s announced during its Capital Market Day, t</w:t>
      </w:r>
      <w:r w:rsidR="00DF3B98" w:rsidRPr="00DF3B98">
        <w:rPr>
          <w:sz w:val="22"/>
          <w:szCs w:val="22"/>
          <w:lang w:val="en"/>
        </w:rPr>
        <w:t>h</w:t>
      </w:r>
      <w:r w:rsidR="00927742">
        <w:rPr>
          <w:sz w:val="22"/>
          <w:szCs w:val="22"/>
          <w:lang w:val="en"/>
        </w:rPr>
        <w:t>e</w:t>
      </w:r>
      <w:r w:rsidR="00DF3B98" w:rsidRPr="00DF3B98">
        <w:rPr>
          <w:sz w:val="22"/>
          <w:szCs w:val="22"/>
          <w:lang w:val="en"/>
        </w:rPr>
        <w:t xml:space="preserve"> dividend policy</w:t>
      </w:r>
      <w:r w:rsidR="00AB66E8">
        <w:rPr>
          <w:sz w:val="22"/>
          <w:szCs w:val="22"/>
          <w:lang w:val="en"/>
        </w:rPr>
        <w:t xml:space="preserve"> </w:t>
      </w:r>
      <w:r w:rsidR="00DF3B98" w:rsidRPr="00DF3B98">
        <w:rPr>
          <w:sz w:val="22"/>
          <w:szCs w:val="22"/>
          <w:lang w:val="en"/>
        </w:rPr>
        <w:t>will gradually grow, in a disciplined manner, up to 35% payout ratio of Group consolidated net</w:t>
      </w:r>
      <w:r w:rsidR="00EB546D">
        <w:rPr>
          <w:sz w:val="22"/>
          <w:szCs w:val="22"/>
          <w:lang w:val="en"/>
        </w:rPr>
        <w:t xml:space="preserve"> </w:t>
      </w:r>
      <w:r w:rsidR="00DF3B98" w:rsidRPr="00DF3B98">
        <w:rPr>
          <w:sz w:val="22"/>
          <w:szCs w:val="22"/>
          <w:lang w:val="en"/>
        </w:rPr>
        <w:t>income – parent share, in the mid-term. To do so, the Group must achieve its first priority: return</w:t>
      </w:r>
      <w:r w:rsidR="00EB546D">
        <w:rPr>
          <w:sz w:val="22"/>
          <w:szCs w:val="22"/>
          <w:lang w:val="en"/>
        </w:rPr>
        <w:t xml:space="preserve"> </w:t>
      </w:r>
      <w:r w:rsidR="00DF3B98" w:rsidRPr="00DF3B98">
        <w:rPr>
          <w:sz w:val="22"/>
          <w:szCs w:val="22"/>
          <w:lang w:val="en"/>
        </w:rPr>
        <w:t>to</w:t>
      </w:r>
      <w:r w:rsidR="00927742">
        <w:rPr>
          <w:sz w:val="22"/>
          <w:szCs w:val="22"/>
          <w:lang w:val="en"/>
        </w:rPr>
        <w:t xml:space="preserve"> </w:t>
      </w:r>
      <w:r w:rsidR="00DF3B98" w:rsidRPr="00DF3B98">
        <w:rPr>
          <w:sz w:val="22"/>
          <w:szCs w:val="22"/>
          <w:lang w:val="en"/>
        </w:rPr>
        <w:t xml:space="preserve">an </w:t>
      </w:r>
      <w:r w:rsidR="001F704B">
        <w:rPr>
          <w:sz w:val="22"/>
          <w:szCs w:val="22"/>
          <w:lang w:val="en"/>
        </w:rPr>
        <w:t>“</w:t>
      </w:r>
      <w:r w:rsidR="00DF3B98" w:rsidRPr="00DF3B98">
        <w:rPr>
          <w:sz w:val="22"/>
          <w:szCs w:val="22"/>
          <w:lang w:val="en"/>
        </w:rPr>
        <w:t>investment grade</w:t>
      </w:r>
      <w:r w:rsidR="001F704B">
        <w:rPr>
          <w:sz w:val="22"/>
          <w:szCs w:val="22"/>
          <w:lang w:val="en"/>
        </w:rPr>
        <w:t>”</w:t>
      </w:r>
      <w:r w:rsidR="00DF3B98" w:rsidRPr="00DF3B98">
        <w:rPr>
          <w:sz w:val="22"/>
          <w:szCs w:val="22"/>
          <w:lang w:val="en"/>
        </w:rPr>
        <w:t xml:space="preserve"> rating</w:t>
      </w:r>
      <w:r w:rsidR="00A00D82">
        <w:rPr>
          <w:sz w:val="22"/>
          <w:szCs w:val="22"/>
          <w:lang w:val="en"/>
        </w:rPr>
        <w:t>.</w:t>
      </w:r>
      <w:bookmarkEnd w:id="2"/>
    </w:p>
    <w:p w14:paraId="2184A8E3" w14:textId="29DD970F" w:rsidR="00491F6C" w:rsidRPr="003858B9" w:rsidRDefault="00AB66E8" w:rsidP="00491F6C">
      <w:pPr>
        <w:keepNext/>
        <w:spacing w:before="360" w:after="120" w:line="240" w:lineRule="auto"/>
        <w:jc w:val="both"/>
        <w:outlineLvl w:val="0"/>
        <w:rPr>
          <w:rFonts w:ascii="Renault Group" w:eastAsia="Renault Group" w:hAnsi="Renault Group" w:cs="Times New Roman"/>
          <w:color w:val="988C7F"/>
          <w:sz w:val="32"/>
          <w:szCs w:val="32"/>
          <w:lang w:val="en-US"/>
        </w:rPr>
      </w:pPr>
      <w:r>
        <w:rPr>
          <w:rFonts w:ascii="Renault Group" w:eastAsia="Renault Group" w:hAnsi="Renault Group" w:cs="Times New Roman"/>
          <w:color w:val="988C7F"/>
          <w:sz w:val="32"/>
          <w:szCs w:val="32"/>
          <w:lang w:val="en"/>
        </w:rPr>
        <w:t xml:space="preserve">2023 </w:t>
      </w:r>
      <w:r w:rsidR="00294542">
        <w:rPr>
          <w:rFonts w:ascii="Renault Group" w:eastAsia="Renault Group" w:hAnsi="Renault Group" w:cs="Times New Roman"/>
          <w:color w:val="988C7F"/>
          <w:sz w:val="32"/>
          <w:szCs w:val="32"/>
          <w:lang w:val="en"/>
        </w:rPr>
        <w:t xml:space="preserve">FY financial </w:t>
      </w:r>
      <w:r w:rsidR="00491F6C" w:rsidRPr="003858B9">
        <w:rPr>
          <w:rFonts w:ascii="Renault Group" w:eastAsia="Renault Group" w:hAnsi="Renault Group" w:cs="Times New Roman"/>
          <w:color w:val="988C7F"/>
          <w:sz w:val="32"/>
          <w:szCs w:val="32"/>
          <w:lang w:val="en"/>
        </w:rPr>
        <w:t xml:space="preserve">Outlook </w:t>
      </w:r>
    </w:p>
    <w:p w14:paraId="541C6895" w14:textId="1AF3CF67" w:rsidR="00CB51C2" w:rsidRPr="00D22BB1" w:rsidRDefault="00CB51C2" w:rsidP="00CB51C2">
      <w:pPr>
        <w:spacing w:line="240" w:lineRule="auto"/>
        <w:jc w:val="both"/>
        <w:rPr>
          <w:rFonts w:ascii="Renault Group" w:eastAsia="Renault Group" w:hAnsi="Renault Group" w:cs="Times New Roman"/>
          <w:sz w:val="22"/>
          <w:szCs w:val="22"/>
          <w:lang w:val="en-US"/>
        </w:rPr>
      </w:pPr>
      <w:r w:rsidRPr="00C36368">
        <w:rPr>
          <w:rFonts w:ascii="Renault Group" w:eastAsia="Renault Group" w:hAnsi="Renault Group" w:cs="Times New Roman"/>
          <w:color w:val="000000" w:themeColor="text1"/>
          <w:sz w:val="22"/>
          <w:szCs w:val="22"/>
          <w:lang w:val="en"/>
        </w:rPr>
        <w:t>In a</w:t>
      </w:r>
      <w:r w:rsidR="0074794C">
        <w:rPr>
          <w:rFonts w:ascii="Renault Group" w:eastAsia="Renault Group" w:hAnsi="Renault Group" w:cs="Times New Roman"/>
          <w:color w:val="000000" w:themeColor="text1"/>
          <w:sz w:val="22"/>
          <w:szCs w:val="22"/>
          <w:lang w:val="en"/>
        </w:rPr>
        <w:t xml:space="preserve"> still challenging</w:t>
      </w:r>
      <w:r w:rsidRPr="00C36368">
        <w:rPr>
          <w:rFonts w:ascii="Renault Group" w:eastAsia="Renault Group" w:hAnsi="Renault Group" w:cs="Times New Roman"/>
          <w:color w:val="000000" w:themeColor="text1"/>
          <w:sz w:val="22"/>
          <w:szCs w:val="22"/>
          <w:lang w:val="en"/>
        </w:rPr>
        <w:t xml:space="preserve"> environment, </w:t>
      </w:r>
      <w:r w:rsidRPr="00D22BB1">
        <w:rPr>
          <w:rFonts w:ascii="Renault Group" w:eastAsia="Renault Group" w:hAnsi="Renault Group" w:cs="Times New Roman"/>
          <w:sz w:val="22"/>
          <w:szCs w:val="22"/>
          <w:lang w:val="en"/>
        </w:rPr>
        <w:t xml:space="preserve">the Group is aiming to </w:t>
      </w:r>
      <w:r>
        <w:rPr>
          <w:rFonts w:ascii="Renault Group" w:eastAsia="Renault Group" w:hAnsi="Renault Group" w:cs="Times New Roman"/>
          <w:sz w:val="22"/>
          <w:szCs w:val="22"/>
          <w:lang w:val="en"/>
        </w:rPr>
        <w:t>improve its performance in 2023 with</w:t>
      </w:r>
      <w:r w:rsidRPr="00D22BB1">
        <w:rPr>
          <w:rFonts w:ascii="Renault Group" w:eastAsia="Renault Group" w:hAnsi="Renault Group" w:cs="Times New Roman"/>
          <w:sz w:val="22"/>
          <w:szCs w:val="22"/>
          <w:lang w:val="en"/>
        </w:rPr>
        <w:t>:</w:t>
      </w:r>
    </w:p>
    <w:p w14:paraId="60E4FEF5" w14:textId="4EAB8AD4" w:rsidR="00CB51C2" w:rsidRPr="00E96566" w:rsidRDefault="00CB51C2" w:rsidP="00CB51C2">
      <w:pPr>
        <w:numPr>
          <w:ilvl w:val="1"/>
          <w:numId w:val="1"/>
        </w:numPr>
        <w:spacing w:before="0" w:line="240" w:lineRule="auto"/>
        <w:jc w:val="both"/>
        <w:rPr>
          <w:rFonts w:ascii="Renault Group" w:eastAsia="Renault Group" w:hAnsi="Renault Group" w:cs="Times New Roman"/>
          <w:sz w:val="22"/>
          <w:szCs w:val="22"/>
          <w:lang w:val="en-US"/>
        </w:rPr>
      </w:pPr>
      <w:r w:rsidRPr="00E96566">
        <w:rPr>
          <w:rFonts w:ascii="Renault Group" w:eastAsia="Renault Group" w:hAnsi="Renault Group" w:cs="Times New Roman"/>
          <w:sz w:val="22"/>
          <w:szCs w:val="22"/>
          <w:lang w:val="en"/>
        </w:rPr>
        <w:t xml:space="preserve">a Group operating margin </w:t>
      </w:r>
      <w:r w:rsidRPr="00F21061">
        <w:rPr>
          <w:rFonts w:ascii="Renault Group" w:eastAsia="Renault Group" w:hAnsi="Renault Group" w:cs="Times New Roman"/>
          <w:sz w:val="22"/>
          <w:szCs w:val="22"/>
          <w:lang w:val="en"/>
        </w:rPr>
        <w:t xml:space="preserve">superior or equal to </w:t>
      </w:r>
      <w:r w:rsidR="00F21061" w:rsidRPr="00F21061">
        <w:rPr>
          <w:rFonts w:ascii="Renault Group" w:eastAsia="Renault Group" w:hAnsi="Renault Group" w:cs="Times New Roman"/>
          <w:sz w:val="22"/>
          <w:szCs w:val="22"/>
          <w:lang w:val="en"/>
        </w:rPr>
        <w:t>6</w:t>
      </w:r>
      <w:r w:rsidRPr="00F21061">
        <w:rPr>
          <w:rFonts w:ascii="Renault Group" w:eastAsia="Renault Group" w:hAnsi="Renault Group" w:cs="Times New Roman"/>
          <w:sz w:val="22"/>
          <w:szCs w:val="22"/>
          <w:lang w:val="en"/>
        </w:rPr>
        <w:t>%</w:t>
      </w:r>
      <w:r w:rsidRPr="00E96566">
        <w:rPr>
          <w:rFonts w:ascii="Renault Group" w:eastAsia="Renault Group" w:hAnsi="Renault Group" w:cs="Times New Roman"/>
          <w:sz w:val="22"/>
          <w:szCs w:val="22"/>
          <w:lang w:val="en"/>
        </w:rPr>
        <w:t xml:space="preserve"> </w:t>
      </w:r>
    </w:p>
    <w:p w14:paraId="05ACF549" w14:textId="351547CB" w:rsidR="00C4745C" w:rsidRPr="008F290E" w:rsidRDefault="00CB51C2" w:rsidP="008F290E">
      <w:pPr>
        <w:numPr>
          <w:ilvl w:val="1"/>
          <w:numId w:val="1"/>
        </w:numPr>
        <w:spacing w:before="0" w:line="240" w:lineRule="auto"/>
        <w:jc w:val="both"/>
        <w:rPr>
          <w:rFonts w:ascii="Renault Group" w:eastAsia="Renault Group" w:hAnsi="Renault Group" w:cs="Times New Roman"/>
          <w:sz w:val="22"/>
          <w:szCs w:val="22"/>
          <w:lang w:val="en-US"/>
        </w:rPr>
      </w:pPr>
      <w:r w:rsidRPr="00C4745C">
        <w:rPr>
          <w:rFonts w:ascii="Renault Group" w:eastAsia="Renault Group" w:hAnsi="Renault Group" w:cs="Times New Roman"/>
          <w:sz w:val="22"/>
          <w:szCs w:val="22"/>
          <w:lang w:val="en-US"/>
        </w:rPr>
        <w:t>an Automotive operational</w:t>
      </w:r>
      <w:r w:rsidRPr="00C4745C">
        <w:rPr>
          <w:rFonts w:ascii="Renault Group" w:eastAsia="Renault Group" w:hAnsi="Renault Group" w:cs="Times New Roman"/>
          <w:sz w:val="22"/>
          <w:szCs w:val="22"/>
          <w:lang w:val="en"/>
        </w:rPr>
        <w:t xml:space="preserve"> free cash flow </w:t>
      </w:r>
      <w:r w:rsidRPr="00F21061">
        <w:rPr>
          <w:rFonts w:ascii="Renault Group" w:eastAsia="Renault Group" w:hAnsi="Renault Group" w:cs="Times New Roman"/>
          <w:sz w:val="22"/>
          <w:szCs w:val="22"/>
          <w:lang w:val="en"/>
        </w:rPr>
        <w:t>superior or equal to €</w:t>
      </w:r>
      <w:r w:rsidR="00F21061" w:rsidRPr="00F21061">
        <w:rPr>
          <w:rFonts w:ascii="Renault Group" w:eastAsia="Renault Group" w:hAnsi="Renault Group" w:cs="Times New Roman"/>
          <w:sz w:val="22"/>
          <w:szCs w:val="22"/>
          <w:lang w:val="en"/>
        </w:rPr>
        <w:t>2</w:t>
      </w:r>
      <w:r w:rsidRPr="00F21061">
        <w:rPr>
          <w:rFonts w:ascii="Renault Group" w:eastAsia="Renault Group" w:hAnsi="Renault Group" w:cs="Times New Roman"/>
          <w:sz w:val="22"/>
          <w:szCs w:val="22"/>
          <w:lang w:val="en"/>
        </w:rPr>
        <w:t xml:space="preserve">bn </w:t>
      </w:r>
    </w:p>
    <w:p w14:paraId="44604957" w14:textId="77777777" w:rsidR="00C4745C" w:rsidRDefault="00C4745C" w:rsidP="00047D06">
      <w:pPr>
        <w:pStyle w:val="RGPuce1"/>
        <w:numPr>
          <w:ilvl w:val="0"/>
          <w:numId w:val="0"/>
        </w:numPr>
        <w:ind w:left="568" w:hanging="284"/>
        <w:rPr>
          <w:lang w:val="en-US"/>
        </w:rPr>
      </w:pPr>
    </w:p>
    <w:p w14:paraId="7664A9FE" w14:textId="4869B3DD" w:rsidR="00BE38D6" w:rsidRPr="00600FD5" w:rsidRDefault="00BE38D6" w:rsidP="00D033F0">
      <w:pPr>
        <w:spacing w:before="360" w:after="120" w:line="240" w:lineRule="auto"/>
        <w:rPr>
          <w:color w:val="988C7F"/>
          <w:sz w:val="32"/>
          <w:szCs w:val="32"/>
          <w:lang w:val="en"/>
        </w:rPr>
      </w:pPr>
      <w:r w:rsidRPr="004D42C5">
        <w:rPr>
          <w:color w:val="988C7F"/>
          <w:sz w:val="32"/>
          <w:szCs w:val="32"/>
          <w:lang w:val="en"/>
        </w:rPr>
        <w:t>Renault Group's consolidated results</w:t>
      </w:r>
    </w:p>
    <w:tbl>
      <w:tblPr>
        <w:tblpPr w:leftFromText="180" w:rightFromText="180" w:vertAnchor="text" w:horzAnchor="margin" w:tblpY="86"/>
        <w:tblW w:w="89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1560"/>
        <w:gridCol w:w="1275"/>
        <w:gridCol w:w="1276"/>
      </w:tblGrid>
      <w:tr w:rsidR="00592914" w:rsidRPr="004D42C5" w14:paraId="4318381C" w14:textId="77777777" w:rsidTr="00592914">
        <w:trPr>
          <w:trHeight w:val="624"/>
        </w:trPr>
        <w:tc>
          <w:tcPr>
            <w:tcW w:w="4819" w:type="dxa"/>
            <w:shd w:val="clear" w:color="auto" w:fill="988C7F"/>
            <w:vAlign w:val="center"/>
          </w:tcPr>
          <w:p w14:paraId="0EDA6C0A" w14:textId="77777777" w:rsidR="00BE38D6" w:rsidRPr="004D42C5" w:rsidRDefault="00BE38D6"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i/>
                <w:color w:val="FFFFFF"/>
                <w:szCs w:val="18"/>
                <w:lang w:eastAsia="fr-FR"/>
              </w:rPr>
            </w:pPr>
            <w:r w:rsidRPr="004D42C5">
              <w:rPr>
                <w:b/>
                <w:color w:val="FFFFFF"/>
                <w:szCs w:val="18"/>
                <w:lang w:val="en" w:eastAsia="fr-FR"/>
              </w:rPr>
              <w:lastRenderedPageBreak/>
              <w:t xml:space="preserve">In </w:t>
            </w:r>
            <w:r>
              <w:rPr>
                <w:b/>
                <w:color w:val="FFFFFF"/>
                <w:szCs w:val="18"/>
                <w:lang w:val="en" w:eastAsia="fr-FR"/>
              </w:rPr>
              <w:t xml:space="preserve">€ million </w:t>
            </w:r>
          </w:p>
        </w:tc>
        <w:tc>
          <w:tcPr>
            <w:tcW w:w="1560" w:type="dxa"/>
            <w:shd w:val="clear" w:color="auto" w:fill="988C7F"/>
            <w:vAlign w:val="center"/>
          </w:tcPr>
          <w:p w14:paraId="6C6F6B5C" w14:textId="1BDE5453" w:rsidR="00BE38D6" w:rsidRPr="004D42C5" w:rsidRDefault="00BE38D6" w:rsidP="00592914">
            <w:pPr>
              <w:tabs>
                <w:tab w:val="left" w:pos="3712"/>
                <w:tab w:val="left" w:pos="5575"/>
              </w:tabs>
              <w:spacing w:before="0" w:line="240" w:lineRule="auto"/>
              <w:jc w:val="center"/>
              <w:rPr>
                <w:rFonts w:ascii="Renault Group" w:eastAsia="Times New Roman" w:hAnsi="Renault Group" w:cs="Arial"/>
                <w:b/>
                <w:iCs/>
                <w:color w:val="FFFFFF"/>
                <w:sz w:val="20"/>
                <w:lang w:eastAsia="fr-FR"/>
              </w:rPr>
            </w:pPr>
            <w:r w:rsidRPr="004D42C5">
              <w:rPr>
                <w:b/>
                <w:iCs/>
                <w:color w:val="FFFFFF"/>
                <w:sz w:val="20"/>
                <w:lang w:val="en" w:eastAsia="fr-FR"/>
              </w:rPr>
              <w:t>202</w:t>
            </w:r>
            <w:r>
              <w:rPr>
                <w:b/>
                <w:iCs/>
                <w:color w:val="FFFFFF"/>
                <w:sz w:val="20"/>
                <w:lang w:val="en" w:eastAsia="fr-FR"/>
              </w:rPr>
              <w:t xml:space="preserve">1  </w:t>
            </w:r>
            <w:r>
              <w:rPr>
                <w:rStyle w:val="Appelnotedebasdep"/>
                <w:b/>
                <w:iCs/>
                <w:color w:val="FFFFFF"/>
                <w:sz w:val="20"/>
                <w:lang w:val="en" w:eastAsia="fr-FR"/>
              </w:rPr>
              <w:footnoteReference w:id="9"/>
            </w:r>
          </w:p>
        </w:tc>
        <w:tc>
          <w:tcPr>
            <w:tcW w:w="1275" w:type="dxa"/>
            <w:shd w:val="clear" w:color="auto" w:fill="988C7F"/>
            <w:vAlign w:val="center"/>
          </w:tcPr>
          <w:p w14:paraId="09769D50" w14:textId="56DE029A" w:rsidR="00BE38D6" w:rsidRPr="004D42C5" w:rsidRDefault="00BE38D6" w:rsidP="00592914">
            <w:pPr>
              <w:tabs>
                <w:tab w:val="left" w:pos="3712"/>
                <w:tab w:val="left" w:pos="5575"/>
              </w:tabs>
              <w:spacing w:before="0" w:line="240" w:lineRule="auto"/>
              <w:jc w:val="center"/>
              <w:rPr>
                <w:rFonts w:ascii="Renault Group" w:eastAsia="Times New Roman" w:hAnsi="Renault Group" w:cs="Arial"/>
                <w:b/>
                <w:iCs/>
                <w:color w:val="2E2ECA"/>
                <w:sz w:val="20"/>
                <w:lang w:eastAsia="fr-FR"/>
              </w:rPr>
            </w:pPr>
            <w:r>
              <w:rPr>
                <w:b/>
                <w:iCs/>
                <w:color w:val="FFFFFF"/>
                <w:sz w:val="20"/>
                <w:lang w:val="en" w:eastAsia="fr-FR"/>
              </w:rPr>
              <w:t>2022</w:t>
            </w:r>
          </w:p>
        </w:tc>
        <w:tc>
          <w:tcPr>
            <w:tcW w:w="1276" w:type="dxa"/>
            <w:shd w:val="clear" w:color="auto" w:fill="988C7F"/>
            <w:vAlign w:val="center"/>
          </w:tcPr>
          <w:p w14:paraId="42549D02" w14:textId="20F9233D" w:rsidR="00BE38D6" w:rsidRPr="004D42C5" w:rsidRDefault="00BE38D6" w:rsidP="00592914">
            <w:pPr>
              <w:tabs>
                <w:tab w:val="left" w:pos="3712"/>
                <w:tab w:val="left" w:pos="5575"/>
              </w:tabs>
              <w:spacing w:before="0" w:line="240" w:lineRule="auto"/>
              <w:jc w:val="center"/>
              <w:rPr>
                <w:rFonts w:ascii="Renault Group" w:eastAsia="Times New Roman" w:hAnsi="Renault Group" w:cs="Arial"/>
                <w:b/>
                <w:iCs/>
                <w:color w:val="FFFFFF"/>
                <w:sz w:val="20"/>
                <w:lang w:eastAsia="fr-FR"/>
              </w:rPr>
            </w:pPr>
            <w:r>
              <w:rPr>
                <w:b/>
                <w:iCs/>
                <w:color w:val="FFFFFF"/>
                <w:sz w:val="20"/>
                <w:lang w:val="en" w:eastAsia="fr-FR"/>
              </w:rPr>
              <w:t>Change</w:t>
            </w:r>
          </w:p>
        </w:tc>
      </w:tr>
      <w:tr w:rsidR="00BC610D" w:rsidRPr="004D42C5" w14:paraId="20C64595" w14:textId="77777777" w:rsidTr="00592914">
        <w:trPr>
          <w:trHeight w:val="397"/>
        </w:trPr>
        <w:tc>
          <w:tcPr>
            <w:tcW w:w="4819" w:type="dxa"/>
            <w:tcBorders>
              <w:bottom w:val="single" w:sz="6" w:space="0" w:color="auto"/>
            </w:tcBorders>
            <w:vAlign w:val="center"/>
          </w:tcPr>
          <w:p w14:paraId="132D509C" w14:textId="77777777" w:rsidR="004156CF" w:rsidRPr="004D42C5" w:rsidRDefault="004156CF" w:rsidP="00592914">
            <w:pPr>
              <w:tabs>
                <w:tab w:val="left" w:pos="3712"/>
                <w:tab w:val="left" w:pos="5575"/>
              </w:tabs>
              <w:overflowPunct w:val="0"/>
              <w:autoSpaceDE w:val="0"/>
              <w:autoSpaceDN w:val="0"/>
              <w:adjustRightInd w:val="0"/>
              <w:spacing w:before="0" w:line="240" w:lineRule="auto"/>
              <w:ind w:right="146"/>
              <w:rPr>
                <w:rFonts w:ascii="Renault Group" w:eastAsia="Times New Roman" w:hAnsi="Renault Group" w:cs="Arial"/>
                <w:b/>
                <w:szCs w:val="18"/>
                <w:lang w:eastAsia="fr-FR"/>
              </w:rPr>
            </w:pPr>
            <w:r w:rsidRPr="004D42C5">
              <w:rPr>
                <w:b/>
                <w:bCs/>
                <w:szCs w:val="18"/>
                <w:lang w:val="en"/>
              </w:rPr>
              <w:t xml:space="preserve">Group revenue </w:t>
            </w:r>
          </w:p>
        </w:tc>
        <w:tc>
          <w:tcPr>
            <w:tcW w:w="1560" w:type="dxa"/>
            <w:tcBorders>
              <w:bottom w:val="single" w:sz="6" w:space="0" w:color="auto"/>
            </w:tcBorders>
            <w:vAlign w:val="center"/>
          </w:tcPr>
          <w:p w14:paraId="4C7A1A42" w14:textId="464303EC" w:rsidR="004156CF" w:rsidRPr="004D42C5" w:rsidRDefault="004156CF"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41,659</w:t>
            </w:r>
          </w:p>
        </w:tc>
        <w:tc>
          <w:tcPr>
            <w:tcW w:w="1275" w:type="dxa"/>
            <w:tcBorders>
              <w:bottom w:val="single" w:sz="6" w:space="0" w:color="auto"/>
            </w:tcBorders>
            <w:shd w:val="clear" w:color="auto" w:fill="auto"/>
            <w:vAlign w:val="center"/>
          </w:tcPr>
          <w:p w14:paraId="034E288D" w14:textId="0D46813F" w:rsidR="004156CF" w:rsidRPr="00975FD4" w:rsidRDefault="004156CF" w:rsidP="00592914">
            <w:pPr>
              <w:tabs>
                <w:tab w:val="left" w:pos="3712"/>
                <w:tab w:val="left" w:pos="5575"/>
              </w:tabs>
              <w:spacing w:before="0" w:line="240" w:lineRule="auto"/>
              <w:jc w:val="center"/>
              <w:rPr>
                <w:b/>
                <w:szCs w:val="18"/>
                <w:lang w:val="en" w:eastAsia="fr-FR"/>
              </w:rPr>
            </w:pPr>
            <w:r w:rsidRPr="00975FD4">
              <w:rPr>
                <w:b/>
                <w:szCs w:val="18"/>
                <w:lang w:val="en" w:eastAsia="fr-FR"/>
              </w:rPr>
              <w:t>46,3</w:t>
            </w:r>
            <w:r w:rsidR="0067268E">
              <w:rPr>
                <w:b/>
                <w:szCs w:val="18"/>
                <w:lang w:val="en" w:eastAsia="fr-FR"/>
              </w:rPr>
              <w:t>91</w:t>
            </w:r>
          </w:p>
        </w:tc>
        <w:tc>
          <w:tcPr>
            <w:tcW w:w="1276" w:type="dxa"/>
            <w:tcBorders>
              <w:bottom w:val="single" w:sz="6" w:space="0" w:color="auto"/>
            </w:tcBorders>
            <w:vAlign w:val="center"/>
          </w:tcPr>
          <w:p w14:paraId="68766324" w14:textId="73136A18" w:rsidR="004156CF" w:rsidRPr="004156CF" w:rsidRDefault="004156CF" w:rsidP="00592914">
            <w:pPr>
              <w:tabs>
                <w:tab w:val="left" w:pos="3712"/>
                <w:tab w:val="left" w:pos="5575"/>
              </w:tabs>
              <w:spacing w:before="0" w:line="240" w:lineRule="auto"/>
              <w:jc w:val="center"/>
              <w:rPr>
                <w:b/>
                <w:szCs w:val="18"/>
                <w:lang w:val="en" w:eastAsia="fr-FR"/>
              </w:rPr>
            </w:pPr>
            <w:r w:rsidRPr="004156CF">
              <w:rPr>
                <w:b/>
                <w:szCs w:val="18"/>
                <w:lang w:val="en" w:eastAsia="fr-FR"/>
              </w:rPr>
              <w:t>+11.</w:t>
            </w:r>
            <w:r w:rsidR="0067268E">
              <w:rPr>
                <w:b/>
                <w:szCs w:val="18"/>
                <w:lang w:val="en" w:eastAsia="fr-FR"/>
              </w:rPr>
              <w:t>4</w:t>
            </w:r>
            <w:r w:rsidRPr="004156CF">
              <w:rPr>
                <w:b/>
                <w:szCs w:val="18"/>
                <w:lang w:val="en" w:eastAsia="fr-FR"/>
              </w:rPr>
              <w:t>%</w:t>
            </w:r>
          </w:p>
        </w:tc>
      </w:tr>
      <w:tr w:rsidR="00BC610D" w:rsidRPr="004D42C5" w14:paraId="27603058" w14:textId="77777777" w:rsidTr="00592914">
        <w:trPr>
          <w:trHeight w:val="397"/>
        </w:trPr>
        <w:tc>
          <w:tcPr>
            <w:tcW w:w="4819" w:type="dxa"/>
            <w:tcBorders>
              <w:top w:val="single" w:sz="6" w:space="0" w:color="auto"/>
              <w:bottom w:val="nil"/>
            </w:tcBorders>
            <w:vAlign w:val="center"/>
          </w:tcPr>
          <w:p w14:paraId="7251A833" w14:textId="3C9DAFE4" w:rsidR="00665C3A" w:rsidRPr="004D42C5" w:rsidRDefault="00665C3A" w:rsidP="00592914">
            <w:pPr>
              <w:autoSpaceDE w:val="0"/>
              <w:autoSpaceDN w:val="0"/>
              <w:adjustRightInd w:val="0"/>
              <w:spacing w:before="0" w:line="240" w:lineRule="auto"/>
              <w:rPr>
                <w:rFonts w:ascii="Renault Group" w:eastAsia="Renault Group" w:hAnsi="Renault Group" w:cs="Arial"/>
                <w:b/>
                <w:bCs/>
                <w:color w:val="000000"/>
                <w:szCs w:val="18"/>
              </w:rPr>
            </w:pPr>
            <w:r>
              <w:rPr>
                <w:b/>
                <w:bCs/>
                <w:szCs w:val="18"/>
                <w:lang w:val="en"/>
              </w:rPr>
              <w:t>Operating margin</w:t>
            </w:r>
            <w:r w:rsidRPr="004D42C5">
              <w:rPr>
                <w:b/>
                <w:bCs/>
                <w:szCs w:val="18"/>
                <w:lang w:val="en"/>
              </w:rPr>
              <w:t xml:space="preserve"> </w:t>
            </w:r>
          </w:p>
        </w:tc>
        <w:tc>
          <w:tcPr>
            <w:tcW w:w="1560" w:type="dxa"/>
            <w:tcBorders>
              <w:top w:val="single" w:sz="6" w:space="0" w:color="auto"/>
              <w:bottom w:val="nil"/>
            </w:tcBorders>
            <w:vAlign w:val="center"/>
          </w:tcPr>
          <w:p w14:paraId="41AEAA42" w14:textId="7C60B42B" w:rsidR="00665C3A" w:rsidRDefault="00665C3A" w:rsidP="00592914">
            <w:pPr>
              <w:tabs>
                <w:tab w:val="left" w:pos="3712"/>
                <w:tab w:val="left" w:pos="5575"/>
              </w:tabs>
              <w:spacing w:before="0" w:line="240" w:lineRule="auto"/>
              <w:jc w:val="center"/>
              <w:rPr>
                <w:b/>
                <w:szCs w:val="18"/>
                <w:lang w:val="en" w:eastAsia="fr-FR"/>
              </w:rPr>
            </w:pPr>
            <w:r>
              <w:rPr>
                <w:b/>
                <w:szCs w:val="18"/>
                <w:lang w:val="en" w:eastAsia="fr-FR"/>
              </w:rPr>
              <w:t>1,153</w:t>
            </w:r>
          </w:p>
        </w:tc>
        <w:tc>
          <w:tcPr>
            <w:tcW w:w="1275" w:type="dxa"/>
            <w:tcBorders>
              <w:top w:val="single" w:sz="6" w:space="0" w:color="auto"/>
              <w:bottom w:val="nil"/>
            </w:tcBorders>
            <w:shd w:val="clear" w:color="auto" w:fill="auto"/>
            <w:vAlign w:val="center"/>
          </w:tcPr>
          <w:p w14:paraId="64C67805" w14:textId="1C08A023" w:rsidR="00665C3A" w:rsidRDefault="00665C3A" w:rsidP="00592914">
            <w:pPr>
              <w:tabs>
                <w:tab w:val="left" w:pos="3712"/>
                <w:tab w:val="left" w:pos="5575"/>
              </w:tabs>
              <w:spacing w:before="0" w:line="240" w:lineRule="auto"/>
              <w:jc w:val="center"/>
              <w:rPr>
                <w:b/>
                <w:szCs w:val="18"/>
                <w:lang w:val="en" w:eastAsia="fr-FR"/>
              </w:rPr>
            </w:pPr>
            <w:r>
              <w:rPr>
                <w:b/>
                <w:szCs w:val="18"/>
                <w:lang w:val="en" w:eastAsia="fr-FR"/>
              </w:rPr>
              <w:t>2,595</w:t>
            </w:r>
          </w:p>
        </w:tc>
        <w:tc>
          <w:tcPr>
            <w:tcW w:w="1276" w:type="dxa"/>
            <w:tcBorders>
              <w:top w:val="single" w:sz="6" w:space="0" w:color="auto"/>
              <w:bottom w:val="nil"/>
            </w:tcBorders>
            <w:vAlign w:val="center"/>
          </w:tcPr>
          <w:p w14:paraId="2CF7540D" w14:textId="3BF9140F" w:rsidR="00665C3A" w:rsidRPr="004156CF" w:rsidRDefault="00665C3A" w:rsidP="00592914">
            <w:pPr>
              <w:tabs>
                <w:tab w:val="left" w:pos="3712"/>
                <w:tab w:val="left" w:pos="5575"/>
              </w:tabs>
              <w:spacing w:before="0" w:line="240" w:lineRule="auto"/>
              <w:jc w:val="center"/>
              <w:rPr>
                <w:b/>
                <w:szCs w:val="18"/>
                <w:lang w:val="en" w:eastAsia="fr-FR"/>
              </w:rPr>
            </w:pPr>
            <w:r>
              <w:rPr>
                <w:b/>
                <w:szCs w:val="18"/>
                <w:lang w:val="en" w:eastAsia="fr-FR"/>
              </w:rPr>
              <w:t>+1,44</w:t>
            </w:r>
            <w:r w:rsidR="00E24C27">
              <w:rPr>
                <w:b/>
                <w:szCs w:val="18"/>
                <w:lang w:val="en" w:eastAsia="fr-FR"/>
              </w:rPr>
              <w:t>2</w:t>
            </w:r>
          </w:p>
        </w:tc>
      </w:tr>
      <w:tr w:rsidR="00BC610D" w:rsidRPr="004D42C5" w14:paraId="0BC26F55" w14:textId="77777777" w:rsidTr="00592914">
        <w:trPr>
          <w:trHeight w:val="283"/>
        </w:trPr>
        <w:tc>
          <w:tcPr>
            <w:tcW w:w="4819" w:type="dxa"/>
            <w:tcBorders>
              <w:top w:val="nil"/>
              <w:bottom w:val="single" w:sz="6" w:space="0" w:color="auto"/>
            </w:tcBorders>
            <w:vAlign w:val="center"/>
          </w:tcPr>
          <w:p w14:paraId="3064A9AF" w14:textId="4F2BC134" w:rsidR="00665C3A" w:rsidRPr="00592914" w:rsidRDefault="00665C3A" w:rsidP="00592914">
            <w:pPr>
              <w:autoSpaceDE w:val="0"/>
              <w:autoSpaceDN w:val="0"/>
              <w:adjustRightInd w:val="0"/>
              <w:spacing w:before="0" w:line="240" w:lineRule="auto"/>
              <w:rPr>
                <w:rFonts w:ascii="Renault Group" w:eastAsia="Renault Group" w:hAnsi="Renault Group" w:cs="Arial"/>
                <w:i/>
                <w:iCs/>
                <w:color w:val="000000"/>
                <w:szCs w:val="18"/>
              </w:rPr>
            </w:pPr>
            <w:r w:rsidRPr="00BC610D">
              <w:rPr>
                <w:i/>
                <w:iCs/>
                <w:szCs w:val="18"/>
                <w:lang w:val="en"/>
              </w:rPr>
              <w:t>% of revenue</w:t>
            </w:r>
          </w:p>
        </w:tc>
        <w:tc>
          <w:tcPr>
            <w:tcW w:w="1560" w:type="dxa"/>
            <w:tcBorders>
              <w:top w:val="nil"/>
              <w:bottom w:val="single" w:sz="6" w:space="0" w:color="auto"/>
            </w:tcBorders>
            <w:vAlign w:val="center"/>
          </w:tcPr>
          <w:p w14:paraId="20CE6456" w14:textId="08CE1ED2" w:rsidR="00665C3A" w:rsidRPr="00592914" w:rsidRDefault="00665C3A" w:rsidP="00592914">
            <w:pPr>
              <w:tabs>
                <w:tab w:val="left" w:pos="3712"/>
                <w:tab w:val="left" w:pos="5575"/>
              </w:tabs>
              <w:spacing w:before="0" w:line="240" w:lineRule="auto"/>
              <w:contextualSpacing/>
              <w:jc w:val="center"/>
              <w:rPr>
                <w:i/>
                <w:iCs/>
                <w:szCs w:val="18"/>
                <w:lang w:val="en" w:eastAsia="fr-FR"/>
              </w:rPr>
            </w:pPr>
            <w:r w:rsidRPr="00592914">
              <w:rPr>
                <w:i/>
                <w:iCs/>
                <w:szCs w:val="18"/>
                <w:lang w:val="en" w:eastAsia="fr-FR"/>
              </w:rPr>
              <w:t>2.8%</w:t>
            </w:r>
          </w:p>
        </w:tc>
        <w:tc>
          <w:tcPr>
            <w:tcW w:w="1275" w:type="dxa"/>
            <w:tcBorders>
              <w:top w:val="nil"/>
              <w:bottom w:val="single" w:sz="6" w:space="0" w:color="auto"/>
            </w:tcBorders>
            <w:shd w:val="clear" w:color="auto" w:fill="auto"/>
            <w:vAlign w:val="center"/>
          </w:tcPr>
          <w:p w14:paraId="28EBEED7" w14:textId="787B33A2" w:rsidR="00665C3A" w:rsidRPr="00592914" w:rsidRDefault="00665C3A" w:rsidP="00592914">
            <w:pPr>
              <w:tabs>
                <w:tab w:val="left" w:pos="3712"/>
                <w:tab w:val="left" w:pos="5575"/>
              </w:tabs>
              <w:spacing w:before="0" w:line="240" w:lineRule="auto"/>
              <w:contextualSpacing/>
              <w:jc w:val="center"/>
              <w:rPr>
                <w:i/>
                <w:iCs/>
                <w:szCs w:val="18"/>
                <w:lang w:val="en" w:eastAsia="fr-FR"/>
              </w:rPr>
            </w:pPr>
            <w:r w:rsidRPr="00592914">
              <w:rPr>
                <w:i/>
                <w:iCs/>
                <w:szCs w:val="18"/>
                <w:lang w:val="en" w:eastAsia="fr-FR"/>
              </w:rPr>
              <w:t>5.6%</w:t>
            </w:r>
          </w:p>
        </w:tc>
        <w:tc>
          <w:tcPr>
            <w:tcW w:w="1276" w:type="dxa"/>
            <w:tcBorders>
              <w:top w:val="nil"/>
              <w:bottom w:val="single" w:sz="6" w:space="0" w:color="auto"/>
            </w:tcBorders>
            <w:vAlign w:val="center"/>
          </w:tcPr>
          <w:p w14:paraId="7E367F66" w14:textId="6C4462AD" w:rsidR="00665C3A" w:rsidRPr="00592914" w:rsidRDefault="00665C3A" w:rsidP="00592914">
            <w:pPr>
              <w:tabs>
                <w:tab w:val="left" w:pos="3712"/>
                <w:tab w:val="left" w:pos="5575"/>
              </w:tabs>
              <w:spacing w:before="0" w:line="240" w:lineRule="auto"/>
              <w:contextualSpacing/>
              <w:jc w:val="center"/>
              <w:rPr>
                <w:i/>
                <w:iCs/>
                <w:szCs w:val="18"/>
                <w:lang w:val="en" w:eastAsia="fr-FR"/>
              </w:rPr>
            </w:pPr>
            <w:r w:rsidRPr="00592914">
              <w:rPr>
                <w:i/>
                <w:iCs/>
                <w:szCs w:val="18"/>
                <w:lang w:val="en" w:eastAsia="fr-FR"/>
              </w:rPr>
              <w:t>+2.8pts</w:t>
            </w:r>
          </w:p>
        </w:tc>
      </w:tr>
      <w:tr w:rsidR="00BC610D" w:rsidRPr="004D42C5" w14:paraId="0D4AA066" w14:textId="77777777" w:rsidTr="00592914">
        <w:trPr>
          <w:trHeight w:val="397"/>
        </w:trPr>
        <w:tc>
          <w:tcPr>
            <w:tcW w:w="4819" w:type="dxa"/>
            <w:tcBorders>
              <w:top w:val="single" w:sz="6" w:space="0" w:color="auto"/>
            </w:tcBorders>
            <w:vAlign w:val="center"/>
          </w:tcPr>
          <w:p w14:paraId="19FCA576" w14:textId="77777777" w:rsidR="00665C3A" w:rsidRPr="00B157D7" w:rsidRDefault="00665C3A" w:rsidP="00592914">
            <w:pPr>
              <w:tabs>
                <w:tab w:val="left" w:pos="186"/>
                <w:tab w:val="left" w:pos="248"/>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szCs w:val="18"/>
                <w:lang w:val="en-US" w:eastAsia="fr-FR"/>
              </w:rPr>
            </w:pPr>
            <w:r w:rsidRPr="004D42C5">
              <w:rPr>
                <w:b/>
                <w:bCs/>
                <w:szCs w:val="18"/>
                <w:lang w:val="en"/>
              </w:rPr>
              <w:t xml:space="preserve">Other operating income and expenses </w:t>
            </w:r>
          </w:p>
        </w:tc>
        <w:tc>
          <w:tcPr>
            <w:tcW w:w="1560" w:type="dxa"/>
            <w:tcBorders>
              <w:top w:val="single" w:sz="6" w:space="0" w:color="auto"/>
            </w:tcBorders>
            <w:vAlign w:val="center"/>
          </w:tcPr>
          <w:p w14:paraId="0C645AC4" w14:textId="7DEB7B24"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-253</w:t>
            </w:r>
          </w:p>
        </w:tc>
        <w:tc>
          <w:tcPr>
            <w:tcW w:w="1275" w:type="dxa"/>
            <w:tcBorders>
              <w:top w:val="single" w:sz="6" w:space="0" w:color="auto"/>
            </w:tcBorders>
            <w:shd w:val="clear" w:color="auto" w:fill="auto"/>
            <w:vAlign w:val="center"/>
          </w:tcPr>
          <w:p w14:paraId="00FABBD7" w14:textId="08311BCA" w:rsidR="00665C3A" w:rsidRPr="00975FD4" w:rsidRDefault="00665C3A" w:rsidP="00592914">
            <w:pPr>
              <w:tabs>
                <w:tab w:val="left" w:pos="3712"/>
                <w:tab w:val="left" w:pos="5575"/>
              </w:tabs>
              <w:spacing w:before="0" w:line="240" w:lineRule="auto"/>
              <w:jc w:val="center"/>
              <w:rPr>
                <w:b/>
                <w:szCs w:val="18"/>
                <w:lang w:val="en" w:eastAsia="fr-FR"/>
              </w:rPr>
            </w:pPr>
            <w:r w:rsidRPr="00975FD4">
              <w:rPr>
                <w:b/>
                <w:szCs w:val="18"/>
                <w:lang w:val="en" w:eastAsia="fr-FR"/>
              </w:rPr>
              <w:t>-3</w:t>
            </w:r>
            <w:r w:rsidR="0067268E">
              <w:rPr>
                <w:b/>
                <w:szCs w:val="18"/>
                <w:lang w:val="en" w:eastAsia="fr-FR"/>
              </w:rPr>
              <w:t>79</w:t>
            </w:r>
          </w:p>
        </w:tc>
        <w:tc>
          <w:tcPr>
            <w:tcW w:w="1276" w:type="dxa"/>
            <w:tcBorders>
              <w:top w:val="single" w:sz="6" w:space="0" w:color="auto"/>
            </w:tcBorders>
            <w:vAlign w:val="center"/>
          </w:tcPr>
          <w:p w14:paraId="2E04E825" w14:textId="2F8CCA3C" w:rsidR="00665C3A" w:rsidRPr="004156CF" w:rsidRDefault="00665C3A" w:rsidP="00592914">
            <w:pPr>
              <w:tabs>
                <w:tab w:val="left" w:pos="3712"/>
                <w:tab w:val="left" w:pos="5575"/>
              </w:tabs>
              <w:spacing w:before="0" w:line="240" w:lineRule="auto"/>
              <w:jc w:val="center"/>
              <w:rPr>
                <w:b/>
                <w:szCs w:val="18"/>
                <w:lang w:val="en" w:eastAsia="fr-FR"/>
              </w:rPr>
            </w:pPr>
            <w:r w:rsidRPr="004156CF">
              <w:rPr>
                <w:b/>
                <w:szCs w:val="18"/>
                <w:lang w:val="en" w:eastAsia="fr-FR"/>
              </w:rPr>
              <w:t>-1</w:t>
            </w:r>
            <w:r w:rsidR="0067268E">
              <w:rPr>
                <w:b/>
                <w:szCs w:val="18"/>
                <w:lang w:val="en" w:eastAsia="fr-FR"/>
              </w:rPr>
              <w:t>26</w:t>
            </w:r>
          </w:p>
        </w:tc>
      </w:tr>
      <w:tr w:rsidR="00BC610D" w:rsidRPr="004D42C5" w14:paraId="69DDBA34" w14:textId="77777777" w:rsidTr="00592914">
        <w:trPr>
          <w:trHeight w:val="397"/>
        </w:trPr>
        <w:tc>
          <w:tcPr>
            <w:tcW w:w="4819" w:type="dxa"/>
            <w:vAlign w:val="center"/>
          </w:tcPr>
          <w:p w14:paraId="02F81694" w14:textId="77777777" w:rsidR="00665C3A" w:rsidRPr="004D42C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color w:val="000000"/>
                <w:szCs w:val="18"/>
                <w:lang w:eastAsia="fr-FR"/>
              </w:rPr>
            </w:pPr>
            <w:r w:rsidRPr="004D42C5">
              <w:rPr>
                <w:b/>
                <w:bCs/>
                <w:szCs w:val="18"/>
                <w:lang w:val="en"/>
              </w:rPr>
              <w:t xml:space="preserve">Operating income </w:t>
            </w:r>
          </w:p>
        </w:tc>
        <w:tc>
          <w:tcPr>
            <w:tcW w:w="1560" w:type="dxa"/>
            <w:vAlign w:val="center"/>
          </w:tcPr>
          <w:p w14:paraId="0286D95D" w14:textId="042E5E10"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900</w:t>
            </w:r>
          </w:p>
        </w:tc>
        <w:tc>
          <w:tcPr>
            <w:tcW w:w="1275" w:type="dxa"/>
            <w:shd w:val="clear" w:color="auto" w:fill="auto"/>
            <w:vAlign w:val="center"/>
          </w:tcPr>
          <w:p w14:paraId="0A4D795A" w14:textId="1BCB686A" w:rsidR="00665C3A" w:rsidRPr="00975FD4" w:rsidRDefault="00665C3A" w:rsidP="00592914">
            <w:pPr>
              <w:tabs>
                <w:tab w:val="left" w:pos="3712"/>
                <w:tab w:val="left" w:pos="5575"/>
              </w:tabs>
              <w:spacing w:before="0" w:line="240" w:lineRule="auto"/>
              <w:jc w:val="center"/>
              <w:rPr>
                <w:b/>
                <w:szCs w:val="18"/>
                <w:lang w:val="en" w:eastAsia="fr-FR"/>
              </w:rPr>
            </w:pPr>
            <w:r w:rsidRPr="00975FD4">
              <w:rPr>
                <w:b/>
                <w:szCs w:val="18"/>
                <w:lang w:val="en" w:eastAsia="fr-FR"/>
              </w:rPr>
              <w:t>2,2</w:t>
            </w:r>
            <w:r w:rsidR="0067268E">
              <w:rPr>
                <w:b/>
                <w:szCs w:val="18"/>
                <w:lang w:val="en" w:eastAsia="fr-FR"/>
              </w:rPr>
              <w:t>16</w:t>
            </w:r>
          </w:p>
        </w:tc>
        <w:tc>
          <w:tcPr>
            <w:tcW w:w="1276" w:type="dxa"/>
            <w:vAlign w:val="center"/>
          </w:tcPr>
          <w:p w14:paraId="59353922" w14:textId="2CE210E3" w:rsidR="00665C3A" w:rsidRPr="004156CF" w:rsidRDefault="00665C3A" w:rsidP="00592914">
            <w:pPr>
              <w:tabs>
                <w:tab w:val="left" w:pos="3712"/>
                <w:tab w:val="left" w:pos="5575"/>
              </w:tabs>
              <w:spacing w:before="0" w:line="240" w:lineRule="auto"/>
              <w:jc w:val="center"/>
              <w:rPr>
                <w:b/>
                <w:szCs w:val="18"/>
                <w:lang w:val="en" w:eastAsia="fr-FR"/>
              </w:rPr>
            </w:pPr>
            <w:r w:rsidRPr="004156CF">
              <w:rPr>
                <w:b/>
                <w:szCs w:val="18"/>
                <w:lang w:val="en" w:eastAsia="fr-FR"/>
              </w:rPr>
              <w:t>+1,3</w:t>
            </w:r>
            <w:r w:rsidR="0067268E">
              <w:rPr>
                <w:b/>
                <w:szCs w:val="18"/>
                <w:lang w:val="en" w:eastAsia="fr-FR"/>
              </w:rPr>
              <w:t>16</w:t>
            </w:r>
          </w:p>
        </w:tc>
      </w:tr>
      <w:tr w:rsidR="00BC610D" w:rsidRPr="004D42C5" w14:paraId="7FAAC0DE" w14:textId="77777777" w:rsidTr="00592914">
        <w:trPr>
          <w:trHeight w:val="397"/>
        </w:trPr>
        <w:tc>
          <w:tcPr>
            <w:tcW w:w="4819" w:type="dxa"/>
            <w:tcBorders>
              <w:bottom w:val="single" w:sz="6" w:space="0" w:color="auto"/>
            </w:tcBorders>
            <w:vAlign w:val="center"/>
          </w:tcPr>
          <w:p w14:paraId="7A3D3BAC" w14:textId="77777777" w:rsidR="00665C3A" w:rsidRPr="0008435C"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bCs/>
                <w:color w:val="000000"/>
                <w:szCs w:val="18"/>
                <w:lang w:val="en-US" w:eastAsia="fr-FR"/>
              </w:rPr>
            </w:pPr>
            <w:r w:rsidRPr="0008435C">
              <w:rPr>
                <w:b/>
                <w:bCs/>
                <w:lang w:val="en-US"/>
              </w:rPr>
              <w:t>Net financial income and expenses</w:t>
            </w:r>
          </w:p>
        </w:tc>
        <w:tc>
          <w:tcPr>
            <w:tcW w:w="1560" w:type="dxa"/>
            <w:tcBorders>
              <w:bottom w:val="single" w:sz="6" w:space="0" w:color="auto"/>
            </w:tcBorders>
            <w:vAlign w:val="center"/>
          </w:tcPr>
          <w:p w14:paraId="1A272D13" w14:textId="04DECC6E" w:rsidR="00665C3A" w:rsidRPr="00F41293" w:rsidRDefault="00665C3A" w:rsidP="00592914">
            <w:pPr>
              <w:tabs>
                <w:tab w:val="left" w:pos="3712"/>
                <w:tab w:val="left" w:pos="5575"/>
              </w:tabs>
              <w:spacing w:before="0" w:line="240" w:lineRule="auto"/>
              <w:jc w:val="center"/>
              <w:rPr>
                <w:b/>
                <w:szCs w:val="18"/>
                <w:lang w:val="en" w:eastAsia="fr-FR"/>
              </w:rPr>
            </w:pPr>
            <w:r>
              <w:rPr>
                <w:b/>
                <w:szCs w:val="18"/>
                <w:lang w:val="en" w:eastAsia="fr-FR"/>
              </w:rPr>
              <w:t>-295</w:t>
            </w:r>
          </w:p>
        </w:tc>
        <w:tc>
          <w:tcPr>
            <w:tcW w:w="1275" w:type="dxa"/>
            <w:tcBorders>
              <w:bottom w:val="single" w:sz="6" w:space="0" w:color="auto"/>
            </w:tcBorders>
            <w:shd w:val="clear" w:color="auto" w:fill="auto"/>
            <w:vAlign w:val="center"/>
          </w:tcPr>
          <w:p w14:paraId="6BF8E17B" w14:textId="2BA83F87" w:rsidR="00665C3A" w:rsidRPr="00975FD4" w:rsidRDefault="00665C3A" w:rsidP="00592914">
            <w:pPr>
              <w:tabs>
                <w:tab w:val="left" w:pos="3712"/>
                <w:tab w:val="left" w:pos="5575"/>
              </w:tabs>
              <w:spacing w:before="0" w:line="240" w:lineRule="auto"/>
              <w:jc w:val="center"/>
              <w:rPr>
                <w:b/>
                <w:szCs w:val="18"/>
                <w:lang w:val="en" w:eastAsia="fr-FR"/>
              </w:rPr>
            </w:pPr>
            <w:r w:rsidRPr="00975FD4">
              <w:rPr>
                <w:b/>
                <w:szCs w:val="18"/>
                <w:lang w:val="en" w:eastAsia="fr-FR"/>
              </w:rPr>
              <w:t>-48</w:t>
            </w:r>
            <w:r w:rsidR="0067268E">
              <w:rPr>
                <w:b/>
                <w:szCs w:val="18"/>
                <w:lang w:val="en" w:eastAsia="fr-FR"/>
              </w:rPr>
              <w:t>6</w:t>
            </w:r>
          </w:p>
        </w:tc>
        <w:tc>
          <w:tcPr>
            <w:tcW w:w="1276" w:type="dxa"/>
            <w:tcBorders>
              <w:bottom w:val="single" w:sz="6" w:space="0" w:color="auto"/>
            </w:tcBorders>
            <w:vAlign w:val="center"/>
          </w:tcPr>
          <w:p w14:paraId="45EF12A3" w14:textId="5BCD8189" w:rsidR="00665C3A" w:rsidRPr="004156CF" w:rsidRDefault="00665C3A" w:rsidP="00592914">
            <w:pPr>
              <w:tabs>
                <w:tab w:val="left" w:pos="3712"/>
                <w:tab w:val="left" w:pos="5575"/>
              </w:tabs>
              <w:spacing w:before="0" w:line="240" w:lineRule="auto"/>
              <w:jc w:val="center"/>
              <w:rPr>
                <w:b/>
                <w:szCs w:val="18"/>
                <w:lang w:val="en" w:eastAsia="fr-FR"/>
              </w:rPr>
            </w:pPr>
            <w:r w:rsidRPr="004156CF">
              <w:rPr>
                <w:b/>
                <w:szCs w:val="18"/>
                <w:lang w:val="en" w:eastAsia="fr-FR"/>
              </w:rPr>
              <w:t>-19</w:t>
            </w:r>
            <w:r w:rsidR="0067268E">
              <w:rPr>
                <w:b/>
                <w:szCs w:val="18"/>
                <w:lang w:val="en" w:eastAsia="fr-FR"/>
              </w:rPr>
              <w:t>1</w:t>
            </w:r>
          </w:p>
        </w:tc>
      </w:tr>
      <w:tr w:rsidR="00592914" w:rsidRPr="004D42C5" w14:paraId="15D9F3A8" w14:textId="77777777" w:rsidTr="00592914">
        <w:trPr>
          <w:trHeight w:val="397"/>
        </w:trPr>
        <w:tc>
          <w:tcPr>
            <w:tcW w:w="4819" w:type="dxa"/>
            <w:tcBorders>
              <w:top w:val="single" w:sz="6" w:space="0" w:color="auto"/>
              <w:bottom w:val="nil"/>
            </w:tcBorders>
            <w:vAlign w:val="center"/>
          </w:tcPr>
          <w:p w14:paraId="54B5F3B1" w14:textId="77777777" w:rsidR="00665C3A" w:rsidRPr="00E057CF"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bCs/>
                <w:szCs w:val="18"/>
                <w:lang w:val="en-US" w:eastAsia="fr-FR"/>
              </w:rPr>
            </w:pPr>
            <w:r w:rsidRPr="00E057CF">
              <w:rPr>
                <w:b/>
                <w:bCs/>
              </w:rPr>
              <w:t>Contribution from associated companies</w:t>
            </w:r>
          </w:p>
        </w:tc>
        <w:tc>
          <w:tcPr>
            <w:tcW w:w="1560" w:type="dxa"/>
            <w:tcBorders>
              <w:top w:val="single" w:sz="6" w:space="0" w:color="auto"/>
              <w:bottom w:val="nil"/>
            </w:tcBorders>
            <w:vAlign w:val="center"/>
          </w:tcPr>
          <w:p w14:paraId="6352AEA1" w14:textId="50AB1D3F"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515</w:t>
            </w:r>
          </w:p>
        </w:tc>
        <w:tc>
          <w:tcPr>
            <w:tcW w:w="1275" w:type="dxa"/>
            <w:tcBorders>
              <w:top w:val="single" w:sz="6" w:space="0" w:color="auto"/>
              <w:bottom w:val="nil"/>
            </w:tcBorders>
            <w:shd w:val="clear" w:color="auto" w:fill="auto"/>
            <w:vAlign w:val="center"/>
          </w:tcPr>
          <w:p w14:paraId="760254D0" w14:textId="4BE1995A" w:rsidR="00665C3A" w:rsidRPr="004D42C5" w:rsidRDefault="00E16E7B" w:rsidP="00592914">
            <w:pPr>
              <w:tabs>
                <w:tab w:val="left" w:pos="3712"/>
                <w:tab w:val="left" w:pos="5575"/>
              </w:tabs>
              <w:spacing w:before="0" w:line="240" w:lineRule="auto"/>
              <w:jc w:val="center"/>
              <w:rPr>
                <w:rFonts w:ascii="Renault Group" w:eastAsia="Times New Roman" w:hAnsi="Renault Group" w:cs="Arial"/>
                <w:b/>
                <w:color w:val="73685D"/>
                <w:szCs w:val="18"/>
                <w:lang w:eastAsia="fr-FR"/>
              </w:rPr>
            </w:pPr>
            <w:r w:rsidRPr="000839D0">
              <w:rPr>
                <w:rFonts w:ascii="Renault Group" w:eastAsia="Times New Roman" w:hAnsi="Renault Group" w:cs="Arial"/>
                <w:b/>
                <w:szCs w:val="18"/>
                <w:lang w:eastAsia="fr-FR"/>
              </w:rPr>
              <w:t>423</w:t>
            </w:r>
          </w:p>
        </w:tc>
        <w:tc>
          <w:tcPr>
            <w:tcW w:w="1276" w:type="dxa"/>
            <w:tcBorders>
              <w:top w:val="single" w:sz="6" w:space="0" w:color="auto"/>
              <w:bottom w:val="nil"/>
            </w:tcBorders>
            <w:vAlign w:val="center"/>
          </w:tcPr>
          <w:p w14:paraId="527CB934" w14:textId="2F93F216" w:rsidR="00665C3A" w:rsidRPr="004D42C5" w:rsidRDefault="00F5615E"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-92</w:t>
            </w:r>
          </w:p>
        </w:tc>
      </w:tr>
      <w:tr w:rsidR="00592914" w:rsidRPr="004D42C5" w14:paraId="6646087E" w14:textId="77777777" w:rsidTr="00592914">
        <w:trPr>
          <w:trHeight w:val="283"/>
        </w:trPr>
        <w:tc>
          <w:tcPr>
            <w:tcW w:w="4819" w:type="dxa"/>
            <w:tcBorders>
              <w:top w:val="nil"/>
              <w:bottom w:val="single" w:sz="6" w:space="0" w:color="auto"/>
            </w:tcBorders>
            <w:vAlign w:val="center"/>
          </w:tcPr>
          <w:p w14:paraId="65653FDB" w14:textId="77777777" w:rsidR="00665C3A" w:rsidRPr="0055106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ind w:right="146"/>
              <w:rPr>
                <w:rFonts w:ascii="Renault Group" w:eastAsia="Times New Roman" w:hAnsi="Renault Group" w:cs="Arial"/>
                <w:i/>
                <w:iCs/>
                <w:szCs w:val="18"/>
                <w:lang w:eastAsia="fr-FR"/>
              </w:rPr>
            </w:pPr>
            <w:r>
              <w:rPr>
                <w:b/>
                <w:bCs/>
                <w:szCs w:val="18"/>
                <w:lang w:val="en"/>
              </w:rPr>
              <w:t xml:space="preserve">               </w:t>
            </w:r>
            <w:r w:rsidRPr="00551065">
              <w:rPr>
                <w:szCs w:val="18"/>
                <w:lang w:val="en"/>
              </w:rPr>
              <w:t>of which Nissan</w:t>
            </w:r>
          </w:p>
        </w:tc>
        <w:tc>
          <w:tcPr>
            <w:tcW w:w="1560" w:type="dxa"/>
            <w:tcBorders>
              <w:top w:val="nil"/>
              <w:bottom w:val="single" w:sz="6" w:space="0" w:color="auto"/>
            </w:tcBorders>
            <w:vAlign w:val="center"/>
          </w:tcPr>
          <w:p w14:paraId="784FADDD" w14:textId="6D30F888" w:rsidR="00665C3A" w:rsidRPr="00B17046" w:rsidRDefault="00665C3A" w:rsidP="00592914">
            <w:pPr>
              <w:tabs>
                <w:tab w:val="left" w:pos="3712"/>
                <w:tab w:val="left" w:pos="5575"/>
              </w:tabs>
              <w:spacing w:before="0" w:line="240" w:lineRule="auto"/>
              <w:jc w:val="center"/>
              <w:rPr>
                <w:rFonts w:ascii="Renault Group" w:eastAsia="Times New Roman" w:hAnsi="Renault Group" w:cs="Arial"/>
                <w:bCs/>
                <w:szCs w:val="18"/>
                <w:lang w:eastAsia="fr-FR"/>
              </w:rPr>
            </w:pPr>
            <w:r>
              <w:rPr>
                <w:bCs/>
                <w:szCs w:val="18"/>
                <w:lang w:val="en" w:eastAsia="fr-FR"/>
              </w:rPr>
              <w:t>380</w:t>
            </w:r>
          </w:p>
        </w:tc>
        <w:tc>
          <w:tcPr>
            <w:tcW w:w="1275" w:type="dxa"/>
            <w:tcBorders>
              <w:top w:val="nil"/>
              <w:bottom w:val="single" w:sz="6" w:space="0" w:color="auto"/>
            </w:tcBorders>
            <w:shd w:val="clear" w:color="auto" w:fill="auto"/>
            <w:vAlign w:val="center"/>
          </w:tcPr>
          <w:p w14:paraId="23CDFA69" w14:textId="7821656C" w:rsidR="00665C3A" w:rsidRPr="000839D0" w:rsidRDefault="00514FCB" w:rsidP="00592914">
            <w:pPr>
              <w:tabs>
                <w:tab w:val="left" w:pos="3712"/>
                <w:tab w:val="left" w:pos="5575"/>
              </w:tabs>
              <w:spacing w:before="0" w:line="240" w:lineRule="auto"/>
              <w:jc w:val="center"/>
              <w:rPr>
                <w:bCs/>
                <w:szCs w:val="18"/>
                <w:lang w:val="en" w:eastAsia="fr-FR"/>
              </w:rPr>
            </w:pPr>
            <w:r w:rsidRPr="000839D0">
              <w:rPr>
                <w:bCs/>
                <w:szCs w:val="18"/>
                <w:lang w:val="en" w:eastAsia="fr-FR"/>
              </w:rPr>
              <w:t>526</w:t>
            </w:r>
          </w:p>
        </w:tc>
        <w:tc>
          <w:tcPr>
            <w:tcW w:w="1276" w:type="dxa"/>
            <w:tcBorders>
              <w:top w:val="nil"/>
              <w:bottom w:val="single" w:sz="6" w:space="0" w:color="auto"/>
            </w:tcBorders>
            <w:vAlign w:val="center"/>
          </w:tcPr>
          <w:p w14:paraId="300C6330" w14:textId="5CAF31E0" w:rsidR="00665C3A" w:rsidRPr="000839D0" w:rsidRDefault="00757821" w:rsidP="00592914">
            <w:pPr>
              <w:tabs>
                <w:tab w:val="left" w:pos="3712"/>
                <w:tab w:val="left" w:pos="5575"/>
              </w:tabs>
              <w:spacing w:before="0" w:line="240" w:lineRule="auto"/>
              <w:jc w:val="center"/>
              <w:rPr>
                <w:bCs/>
                <w:szCs w:val="18"/>
                <w:lang w:val="en" w:eastAsia="fr-FR"/>
              </w:rPr>
            </w:pPr>
            <w:r w:rsidRPr="000839D0">
              <w:rPr>
                <w:bCs/>
                <w:szCs w:val="18"/>
                <w:lang w:val="en" w:eastAsia="fr-FR"/>
              </w:rPr>
              <w:t>+146</w:t>
            </w:r>
          </w:p>
        </w:tc>
      </w:tr>
      <w:tr w:rsidR="00592914" w:rsidRPr="004D42C5" w14:paraId="0241E5F9" w14:textId="77777777" w:rsidTr="00592914">
        <w:trPr>
          <w:trHeight w:val="397"/>
        </w:trPr>
        <w:tc>
          <w:tcPr>
            <w:tcW w:w="4819" w:type="dxa"/>
            <w:tcBorders>
              <w:top w:val="single" w:sz="6" w:space="0" w:color="auto"/>
              <w:bottom w:val="single" w:sz="6" w:space="0" w:color="auto"/>
            </w:tcBorders>
            <w:vAlign w:val="center"/>
          </w:tcPr>
          <w:p w14:paraId="27C0C4BC" w14:textId="77777777" w:rsidR="00665C3A" w:rsidRPr="004D42C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ind w:right="146"/>
              <w:rPr>
                <w:rFonts w:ascii="Renault Group" w:eastAsia="Times New Roman" w:hAnsi="Renault Group" w:cs="Arial"/>
                <w:b/>
                <w:i/>
                <w:szCs w:val="18"/>
                <w:lang w:eastAsia="fr-FR"/>
              </w:rPr>
            </w:pPr>
            <w:r w:rsidRPr="004D42C5">
              <w:rPr>
                <w:b/>
                <w:bCs/>
                <w:szCs w:val="18"/>
                <w:lang w:val="en"/>
              </w:rPr>
              <w:t xml:space="preserve">Current and deferred taxes </w:t>
            </w:r>
          </w:p>
        </w:tc>
        <w:tc>
          <w:tcPr>
            <w:tcW w:w="1560" w:type="dxa"/>
            <w:tcBorders>
              <w:top w:val="single" w:sz="6" w:space="0" w:color="auto"/>
              <w:bottom w:val="single" w:sz="6" w:space="0" w:color="auto"/>
            </w:tcBorders>
            <w:vAlign w:val="center"/>
          </w:tcPr>
          <w:p w14:paraId="2948168C" w14:textId="50AD787B"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-571</w:t>
            </w:r>
          </w:p>
        </w:tc>
        <w:tc>
          <w:tcPr>
            <w:tcW w:w="1275" w:type="dxa"/>
            <w:tcBorders>
              <w:top w:val="single" w:sz="6" w:space="0" w:color="auto"/>
              <w:bottom w:val="single" w:sz="6" w:space="0" w:color="auto"/>
            </w:tcBorders>
            <w:shd w:val="clear" w:color="auto" w:fill="auto"/>
            <w:vAlign w:val="center"/>
          </w:tcPr>
          <w:p w14:paraId="4D95BFD1" w14:textId="4BDCC9EB" w:rsidR="00665C3A" w:rsidRPr="004D42C5" w:rsidRDefault="0067268E" w:rsidP="00592914">
            <w:pPr>
              <w:tabs>
                <w:tab w:val="left" w:pos="3712"/>
                <w:tab w:val="left" w:pos="5575"/>
              </w:tabs>
              <w:spacing w:before="0" w:line="240" w:lineRule="auto"/>
              <w:jc w:val="center"/>
              <w:rPr>
                <w:rFonts w:ascii="Renault Group" w:eastAsia="Times New Roman" w:hAnsi="Renault Group" w:cs="Arial"/>
                <w:b/>
                <w:color w:val="73685D"/>
                <w:szCs w:val="18"/>
                <w:lang w:eastAsia="fr-FR"/>
              </w:rPr>
            </w:pPr>
            <w:r w:rsidRPr="0067268E">
              <w:rPr>
                <w:rFonts w:ascii="Renault Group" w:eastAsia="Times New Roman" w:hAnsi="Renault Group" w:cs="Arial"/>
                <w:b/>
                <w:szCs w:val="18"/>
                <w:lang w:eastAsia="fr-FR"/>
              </w:rPr>
              <w:t>-533</w:t>
            </w:r>
          </w:p>
        </w:tc>
        <w:tc>
          <w:tcPr>
            <w:tcW w:w="1276" w:type="dxa"/>
            <w:tcBorders>
              <w:top w:val="single" w:sz="6" w:space="0" w:color="auto"/>
              <w:bottom w:val="single" w:sz="6" w:space="0" w:color="auto"/>
            </w:tcBorders>
            <w:vAlign w:val="center"/>
          </w:tcPr>
          <w:p w14:paraId="04EC8F4B" w14:textId="68B8466D" w:rsidR="00665C3A" w:rsidRPr="004D42C5" w:rsidRDefault="0067268E"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+38</w:t>
            </w:r>
          </w:p>
        </w:tc>
      </w:tr>
      <w:tr w:rsidR="00592914" w:rsidRPr="004D42C5" w14:paraId="52C276E6" w14:textId="77777777" w:rsidTr="00592914">
        <w:trPr>
          <w:trHeight w:val="397"/>
        </w:trPr>
        <w:tc>
          <w:tcPr>
            <w:tcW w:w="4819" w:type="dxa"/>
            <w:tcBorders>
              <w:top w:val="single" w:sz="6" w:space="0" w:color="auto"/>
              <w:bottom w:val="nil"/>
            </w:tcBorders>
            <w:vAlign w:val="center"/>
          </w:tcPr>
          <w:p w14:paraId="35203E00" w14:textId="77777777" w:rsidR="00665C3A" w:rsidRPr="004D42C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szCs w:val="18"/>
                <w:lang w:eastAsia="fr-FR"/>
              </w:rPr>
            </w:pPr>
            <w:r w:rsidRPr="004D42C5">
              <w:rPr>
                <w:b/>
                <w:bCs/>
                <w:szCs w:val="18"/>
                <w:lang w:val="en"/>
              </w:rPr>
              <w:t xml:space="preserve">Net income </w:t>
            </w:r>
          </w:p>
        </w:tc>
        <w:tc>
          <w:tcPr>
            <w:tcW w:w="1560" w:type="dxa"/>
            <w:tcBorders>
              <w:top w:val="single" w:sz="6" w:space="0" w:color="auto"/>
              <w:bottom w:val="nil"/>
            </w:tcBorders>
            <w:vAlign w:val="center"/>
          </w:tcPr>
          <w:p w14:paraId="30F756DA" w14:textId="3FC5CFA3"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967</w:t>
            </w:r>
          </w:p>
        </w:tc>
        <w:tc>
          <w:tcPr>
            <w:tcW w:w="1275" w:type="dxa"/>
            <w:tcBorders>
              <w:top w:val="single" w:sz="6" w:space="0" w:color="auto"/>
              <w:bottom w:val="nil"/>
            </w:tcBorders>
            <w:shd w:val="clear" w:color="auto" w:fill="auto"/>
            <w:vAlign w:val="center"/>
          </w:tcPr>
          <w:p w14:paraId="1BCBB34D" w14:textId="1C05C46C" w:rsidR="00665C3A" w:rsidRPr="000839D0" w:rsidRDefault="008E3FEB" w:rsidP="00592914">
            <w:pPr>
              <w:tabs>
                <w:tab w:val="left" w:pos="3712"/>
                <w:tab w:val="left" w:pos="5575"/>
              </w:tabs>
              <w:spacing w:before="0" w:line="240" w:lineRule="auto"/>
              <w:jc w:val="center"/>
              <w:rPr>
                <w:rFonts w:ascii="Renault Group" w:eastAsia="Times New Roman" w:hAnsi="Renault Group" w:cs="Arial"/>
                <w:b/>
                <w:szCs w:val="18"/>
                <w:lang w:eastAsia="fr-FR"/>
              </w:rPr>
            </w:pPr>
            <w:r w:rsidRPr="000839D0">
              <w:rPr>
                <w:rFonts w:ascii="Renault Group" w:eastAsia="Times New Roman" w:hAnsi="Renault Group" w:cs="Arial"/>
                <w:b/>
                <w:szCs w:val="18"/>
                <w:lang w:eastAsia="fr-FR"/>
              </w:rPr>
              <w:t>-700</w:t>
            </w:r>
          </w:p>
        </w:tc>
        <w:tc>
          <w:tcPr>
            <w:tcW w:w="1276" w:type="dxa"/>
            <w:tcBorders>
              <w:top w:val="single" w:sz="6" w:space="0" w:color="auto"/>
              <w:bottom w:val="nil"/>
            </w:tcBorders>
            <w:vAlign w:val="center"/>
          </w:tcPr>
          <w:p w14:paraId="70AA5D19" w14:textId="112A23FD" w:rsidR="00665C3A" w:rsidRPr="004D42C5" w:rsidRDefault="009657C3"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-1,667</w:t>
            </w:r>
          </w:p>
        </w:tc>
      </w:tr>
      <w:tr w:rsidR="00BC610D" w:rsidRPr="004D42C5" w14:paraId="6C1BF1A9" w14:textId="77777777" w:rsidTr="00592914">
        <w:trPr>
          <w:trHeight w:val="283"/>
        </w:trPr>
        <w:tc>
          <w:tcPr>
            <w:tcW w:w="4819" w:type="dxa"/>
            <w:tcBorders>
              <w:top w:val="nil"/>
              <w:bottom w:val="nil"/>
            </w:tcBorders>
            <w:vAlign w:val="center"/>
          </w:tcPr>
          <w:p w14:paraId="09584846" w14:textId="10C9ACD6" w:rsidR="00665C3A" w:rsidRPr="00592914"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Renault Group" w:hAnsi="Renault Group" w:cs="Times New Roman"/>
                <w:szCs w:val="18"/>
              </w:rPr>
            </w:pPr>
            <w:r w:rsidRPr="00592914">
              <w:rPr>
                <w:szCs w:val="18"/>
                <w:lang w:val="en"/>
              </w:rPr>
              <w:t xml:space="preserve">              of which continuing operations </w:t>
            </w:r>
          </w:p>
        </w:tc>
        <w:tc>
          <w:tcPr>
            <w:tcW w:w="1560" w:type="dxa"/>
            <w:tcBorders>
              <w:top w:val="nil"/>
              <w:bottom w:val="nil"/>
            </w:tcBorders>
            <w:vAlign w:val="center"/>
          </w:tcPr>
          <w:p w14:paraId="1AD95C6E" w14:textId="245D75A1" w:rsidR="00665C3A" w:rsidRPr="00592914" w:rsidRDefault="00665C3A"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szCs w:val="18"/>
                <w:lang w:val="en" w:eastAsia="fr-FR"/>
              </w:rPr>
              <w:t>549</w:t>
            </w:r>
          </w:p>
        </w:tc>
        <w:tc>
          <w:tcPr>
            <w:tcW w:w="1275" w:type="dxa"/>
            <w:tcBorders>
              <w:top w:val="nil"/>
              <w:bottom w:val="nil"/>
            </w:tcBorders>
            <w:shd w:val="clear" w:color="auto" w:fill="auto"/>
            <w:vAlign w:val="center"/>
          </w:tcPr>
          <w:p w14:paraId="1FBBA7E1" w14:textId="71955099" w:rsidR="00665C3A" w:rsidRPr="00592914" w:rsidRDefault="008E3FEB"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rFonts w:ascii="Renault Group" w:eastAsia="Times New Roman" w:hAnsi="Renault Group" w:cs="Arial"/>
                <w:szCs w:val="18"/>
                <w:lang w:eastAsia="fr-FR"/>
              </w:rPr>
              <w:t>1,620</w:t>
            </w:r>
          </w:p>
        </w:tc>
        <w:tc>
          <w:tcPr>
            <w:tcW w:w="1276" w:type="dxa"/>
            <w:tcBorders>
              <w:top w:val="nil"/>
              <w:bottom w:val="nil"/>
            </w:tcBorders>
            <w:vAlign w:val="center"/>
          </w:tcPr>
          <w:p w14:paraId="7D2413E3" w14:textId="106E9DA9" w:rsidR="00665C3A" w:rsidRPr="00592914" w:rsidRDefault="00AA13AF"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rFonts w:ascii="Renault Group" w:eastAsia="Times New Roman" w:hAnsi="Renault Group" w:cs="Arial"/>
                <w:szCs w:val="18"/>
                <w:lang w:eastAsia="fr-FR"/>
              </w:rPr>
              <w:t>+1,071</w:t>
            </w:r>
          </w:p>
        </w:tc>
      </w:tr>
      <w:tr w:rsidR="00592914" w:rsidRPr="004D42C5" w14:paraId="37688638" w14:textId="77777777" w:rsidTr="00592914">
        <w:trPr>
          <w:trHeight w:val="283"/>
        </w:trPr>
        <w:tc>
          <w:tcPr>
            <w:tcW w:w="4819" w:type="dxa"/>
            <w:tcBorders>
              <w:top w:val="nil"/>
              <w:bottom w:val="single" w:sz="6" w:space="0" w:color="auto"/>
            </w:tcBorders>
            <w:vAlign w:val="center"/>
          </w:tcPr>
          <w:p w14:paraId="0712C687" w14:textId="23F840C5" w:rsidR="00665C3A" w:rsidRPr="00592914"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Renault Group" w:hAnsi="Renault Group" w:cs="Times New Roman"/>
                <w:szCs w:val="18"/>
              </w:rPr>
            </w:pPr>
            <w:r w:rsidRPr="00592914">
              <w:rPr>
                <w:szCs w:val="18"/>
                <w:lang w:val="en"/>
              </w:rPr>
              <w:t xml:space="preserve">              of </w:t>
            </w:r>
            <w:r w:rsidRPr="00592914">
              <w:rPr>
                <w:lang w:val="en"/>
              </w:rPr>
              <w:t xml:space="preserve">which </w:t>
            </w:r>
            <w:r w:rsidRPr="00592914">
              <w:rPr>
                <w:szCs w:val="18"/>
                <w:lang w:val="en"/>
              </w:rPr>
              <w:t>discontinued operations</w:t>
            </w:r>
          </w:p>
        </w:tc>
        <w:tc>
          <w:tcPr>
            <w:tcW w:w="1560" w:type="dxa"/>
            <w:tcBorders>
              <w:top w:val="nil"/>
              <w:bottom w:val="single" w:sz="6" w:space="0" w:color="auto"/>
            </w:tcBorders>
            <w:vAlign w:val="center"/>
          </w:tcPr>
          <w:p w14:paraId="7656CC55" w14:textId="4260E38F" w:rsidR="00665C3A" w:rsidRPr="00592914" w:rsidRDefault="00665C3A"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szCs w:val="18"/>
                <w:lang w:val="en" w:eastAsia="fr-FR"/>
              </w:rPr>
              <w:t>418</w:t>
            </w:r>
          </w:p>
        </w:tc>
        <w:tc>
          <w:tcPr>
            <w:tcW w:w="1275" w:type="dxa"/>
            <w:tcBorders>
              <w:top w:val="nil"/>
              <w:bottom w:val="single" w:sz="6" w:space="0" w:color="auto"/>
            </w:tcBorders>
            <w:shd w:val="clear" w:color="auto" w:fill="auto"/>
            <w:vAlign w:val="center"/>
          </w:tcPr>
          <w:p w14:paraId="7AE9C7EB" w14:textId="3C817645" w:rsidR="00665C3A" w:rsidRPr="00592914" w:rsidRDefault="00A54472"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rFonts w:ascii="Renault Group" w:eastAsia="Times New Roman" w:hAnsi="Renault Group" w:cs="Arial"/>
                <w:szCs w:val="18"/>
                <w:lang w:eastAsia="fr-FR"/>
              </w:rPr>
              <w:t>-2,320</w:t>
            </w:r>
          </w:p>
        </w:tc>
        <w:tc>
          <w:tcPr>
            <w:tcW w:w="1276" w:type="dxa"/>
            <w:tcBorders>
              <w:top w:val="nil"/>
              <w:bottom w:val="single" w:sz="6" w:space="0" w:color="auto"/>
            </w:tcBorders>
            <w:vAlign w:val="center"/>
          </w:tcPr>
          <w:p w14:paraId="75A78A10" w14:textId="26CFD5E2" w:rsidR="00665C3A" w:rsidRPr="00592914" w:rsidRDefault="00992F3B" w:rsidP="00592914">
            <w:pPr>
              <w:tabs>
                <w:tab w:val="left" w:pos="3712"/>
                <w:tab w:val="left" w:pos="5575"/>
              </w:tabs>
              <w:spacing w:before="0" w:line="240" w:lineRule="auto"/>
              <w:jc w:val="center"/>
              <w:rPr>
                <w:rFonts w:ascii="Renault Group" w:eastAsia="Times New Roman" w:hAnsi="Renault Group" w:cs="Arial"/>
                <w:szCs w:val="18"/>
                <w:lang w:eastAsia="fr-FR"/>
              </w:rPr>
            </w:pPr>
            <w:r w:rsidRPr="00592914">
              <w:rPr>
                <w:rFonts w:ascii="Renault Group" w:eastAsia="Times New Roman" w:hAnsi="Renault Group" w:cs="Arial"/>
                <w:szCs w:val="18"/>
                <w:lang w:eastAsia="fr-FR"/>
              </w:rPr>
              <w:t>-2,738</w:t>
            </w:r>
          </w:p>
        </w:tc>
      </w:tr>
      <w:tr w:rsidR="00BC610D" w:rsidRPr="004D42C5" w14:paraId="20C76253" w14:textId="77777777" w:rsidTr="00592914">
        <w:trPr>
          <w:trHeight w:val="397"/>
        </w:trPr>
        <w:tc>
          <w:tcPr>
            <w:tcW w:w="4819" w:type="dxa"/>
            <w:tcBorders>
              <w:top w:val="single" w:sz="6" w:space="0" w:color="auto"/>
            </w:tcBorders>
            <w:vAlign w:val="center"/>
          </w:tcPr>
          <w:p w14:paraId="3FF1D64E" w14:textId="77777777" w:rsidR="00665C3A" w:rsidRPr="004D42C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Times New Roman" w:hAnsi="Renault Group" w:cs="Arial"/>
                <w:b/>
                <w:color w:val="000000"/>
                <w:szCs w:val="18"/>
                <w:lang w:eastAsia="fr-FR"/>
              </w:rPr>
            </w:pPr>
            <w:r w:rsidRPr="00FC45A4">
              <w:rPr>
                <w:b/>
                <w:bCs/>
                <w:szCs w:val="18"/>
                <w:lang w:val="en"/>
              </w:rPr>
              <w:t>Net income, Group share</w:t>
            </w:r>
          </w:p>
        </w:tc>
        <w:tc>
          <w:tcPr>
            <w:tcW w:w="1560" w:type="dxa"/>
            <w:tcBorders>
              <w:top w:val="single" w:sz="6" w:space="0" w:color="auto"/>
            </w:tcBorders>
            <w:vAlign w:val="center"/>
          </w:tcPr>
          <w:p w14:paraId="3BB73E83" w14:textId="6D0C4D32" w:rsidR="004A7334" w:rsidRPr="004D42C5" w:rsidRDefault="004A7334"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888</w:t>
            </w:r>
          </w:p>
        </w:tc>
        <w:tc>
          <w:tcPr>
            <w:tcW w:w="1275" w:type="dxa"/>
            <w:tcBorders>
              <w:top w:val="single" w:sz="6" w:space="0" w:color="auto"/>
            </w:tcBorders>
            <w:shd w:val="clear" w:color="auto" w:fill="auto"/>
            <w:vAlign w:val="center"/>
          </w:tcPr>
          <w:p w14:paraId="7FE5E8B3" w14:textId="295C98F7" w:rsidR="00665C3A" w:rsidRPr="000839D0" w:rsidRDefault="00532EAF" w:rsidP="00592914">
            <w:pPr>
              <w:tabs>
                <w:tab w:val="left" w:pos="3712"/>
                <w:tab w:val="left" w:pos="5575"/>
              </w:tabs>
              <w:spacing w:before="0" w:line="240" w:lineRule="auto"/>
              <w:jc w:val="center"/>
              <w:rPr>
                <w:rFonts w:ascii="Renault Group" w:eastAsia="Times New Roman" w:hAnsi="Renault Group" w:cs="Arial"/>
                <w:b/>
                <w:szCs w:val="18"/>
                <w:lang w:eastAsia="fr-FR"/>
              </w:rPr>
            </w:pPr>
            <w:r w:rsidRPr="000839D0">
              <w:rPr>
                <w:rFonts w:ascii="Renault Group" w:eastAsia="Times New Roman" w:hAnsi="Renault Group" w:cs="Arial"/>
                <w:b/>
                <w:szCs w:val="18"/>
                <w:lang w:eastAsia="fr-FR"/>
              </w:rPr>
              <w:t>-338</w:t>
            </w:r>
          </w:p>
        </w:tc>
        <w:tc>
          <w:tcPr>
            <w:tcW w:w="1276" w:type="dxa"/>
            <w:tcBorders>
              <w:top w:val="single" w:sz="6" w:space="0" w:color="auto"/>
            </w:tcBorders>
            <w:vAlign w:val="center"/>
          </w:tcPr>
          <w:p w14:paraId="321D1550" w14:textId="0EBA0D5C" w:rsidR="00665C3A" w:rsidRPr="004D42C5" w:rsidRDefault="00564DE0"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-1,226</w:t>
            </w:r>
          </w:p>
        </w:tc>
      </w:tr>
      <w:tr w:rsidR="006650FA" w:rsidRPr="004D42C5" w14:paraId="650A54CE" w14:textId="77777777" w:rsidTr="00592914">
        <w:trPr>
          <w:trHeight w:val="397"/>
        </w:trPr>
        <w:tc>
          <w:tcPr>
            <w:tcW w:w="4819" w:type="dxa"/>
            <w:tcBorders>
              <w:bottom w:val="single" w:sz="6" w:space="0" w:color="auto"/>
            </w:tcBorders>
            <w:vAlign w:val="center"/>
          </w:tcPr>
          <w:p w14:paraId="1C13CFD7" w14:textId="77777777" w:rsidR="00665C3A" w:rsidRPr="00B157D7"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rFonts w:ascii="Renault Group" w:eastAsia="Renault Group" w:hAnsi="Renault Group" w:cs="Times New Roman"/>
                <w:b/>
                <w:bCs/>
                <w:szCs w:val="18"/>
                <w:lang w:val="en-US"/>
              </w:rPr>
            </w:pPr>
            <w:r w:rsidRPr="004D42C5">
              <w:rPr>
                <w:b/>
                <w:bCs/>
                <w:szCs w:val="18"/>
                <w:lang w:val="en"/>
              </w:rPr>
              <w:t xml:space="preserve">Automotive </w:t>
            </w:r>
            <w:r>
              <w:rPr>
                <w:b/>
                <w:bCs/>
                <w:szCs w:val="18"/>
                <w:lang w:val="en"/>
              </w:rPr>
              <w:t>o</w:t>
            </w:r>
            <w:r w:rsidRPr="00D26088">
              <w:rPr>
                <w:b/>
                <w:bCs/>
                <w:szCs w:val="18"/>
                <w:lang w:val="en"/>
              </w:rPr>
              <w:t>perati</w:t>
            </w:r>
            <w:r>
              <w:rPr>
                <w:b/>
                <w:bCs/>
                <w:szCs w:val="18"/>
                <w:lang w:val="en"/>
              </w:rPr>
              <w:t>onal</w:t>
            </w:r>
            <w:r w:rsidRPr="00D26088">
              <w:rPr>
                <w:b/>
                <w:bCs/>
                <w:lang w:val="en"/>
              </w:rPr>
              <w:t xml:space="preserve"> </w:t>
            </w:r>
            <w:r>
              <w:rPr>
                <w:b/>
                <w:bCs/>
                <w:lang w:val="en"/>
              </w:rPr>
              <w:t>f</w:t>
            </w:r>
            <w:r w:rsidRPr="00D26088">
              <w:rPr>
                <w:b/>
                <w:bCs/>
                <w:lang w:val="en"/>
              </w:rPr>
              <w:t xml:space="preserve">ree </w:t>
            </w:r>
            <w:r>
              <w:rPr>
                <w:b/>
                <w:bCs/>
                <w:lang w:val="en"/>
              </w:rPr>
              <w:t>c</w:t>
            </w:r>
            <w:r w:rsidRPr="00D26088">
              <w:rPr>
                <w:b/>
                <w:bCs/>
                <w:lang w:val="en"/>
              </w:rPr>
              <w:t>ash</w:t>
            </w:r>
            <w:r>
              <w:rPr>
                <w:b/>
                <w:bCs/>
                <w:lang w:val="en"/>
              </w:rPr>
              <w:t xml:space="preserve"> f</w:t>
            </w:r>
            <w:r w:rsidRPr="00D26088">
              <w:rPr>
                <w:b/>
                <w:bCs/>
                <w:lang w:val="en"/>
              </w:rPr>
              <w:t>low</w:t>
            </w:r>
          </w:p>
        </w:tc>
        <w:tc>
          <w:tcPr>
            <w:tcW w:w="1560" w:type="dxa"/>
            <w:tcBorders>
              <w:bottom w:val="single" w:sz="6" w:space="0" w:color="auto"/>
            </w:tcBorders>
            <w:vAlign w:val="center"/>
          </w:tcPr>
          <w:p w14:paraId="3F191BBC" w14:textId="12C2D53E" w:rsidR="00665C3A" w:rsidRPr="004D42C5" w:rsidRDefault="00F74F25" w:rsidP="00592914">
            <w:pPr>
              <w:tabs>
                <w:tab w:val="left" w:pos="3712"/>
                <w:tab w:val="left" w:pos="5575"/>
              </w:tabs>
              <w:spacing w:before="0" w:line="240" w:lineRule="auto"/>
              <w:jc w:val="center"/>
              <w:rPr>
                <w:rFonts w:ascii="Renault Group" w:eastAsia="Times New Roman" w:hAnsi="Renault Group" w:cs="Arial"/>
                <w:b/>
                <w:szCs w:val="18"/>
                <w:lang w:eastAsia="fr-FR"/>
              </w:rPr>
            </w:pPr>
            <w:r>
              <w:rPr>
                <w:b/>
                <w:szCs w:val="18"/>
                <w:lang w:val="en" w:eastAsia="fr-FR"/>
              </w:rPr>
              <w:t>889</w:t>
            </w:r>
          </w:p>
        </w:tc>
        <w:tc>
          <w:tcPr>
            <w:tcW w:w="1275" w:type="dxa"/>
            <w:tcBorders>
              <w:bottom w:val="single" w:sz="6" w:space="0" w:color="auto"/>
            </w:tcBorders>
            <w:shd w:val="clear" w:color="auto" w:fill="auto"/>
            <w:vAlign w:val="center"/>
          </w:tcPr>
          <w:p w14:paraId="4149D0B7" w14:textId="4350162C" w:rsidR="00665C3A" w:rsidRPr="000839D0"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sidRPr="000839D0">
              <w:rPr>
                <w:rFonts w:ascii="Renault Group" w:eastAsia="Times New Roman" w:hAnsi="Renault Group" w:cs="Arial"/>
                <w:b/>
                <w:szCs w:val="18"/>
                <w:lang w:eastAsia="fr-FR"/>
              </w:rPr>
              <w:t>2,</w:t>
            </w:r>
            <w:r w:rsidR="0067268E" w:rsidRPr="000839D0">
              <w:rPr>
                <w:rFonts w:ascii="Renault Group" w:eastAsia="Times New Roman" w:hAnsi="Renault Group" w:cs="Arial"/>
                <w:b/>
                <w:szCs w:val="18"/>
                <w:lang w:eastAsia="fr-FR"/>
              </w:rPr>
              <w:t>119</w:t>
            </w:r>
          </w:p>
        </w:tc>
        <w:tc>
          <w:tcPr>
            <w:tcW w:w="1276" w:type="dxa"/>
            <w:tcBorders>
              <w:bottom w:val="single" w:sz="6" w:space="0" w:color="auto"/>
            </w:tcBorders>
            <w:vAlign w:val="center"/>
          </w:tcPr>
          <w:p w14:paraId="47D8D904" w14:textId="2810E381"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+1 ,</w:t>
            </w:r>
            <w:r w:rsidR="007E14C5">
              <w:rPr>
                <w:rFonts w:ascii="Renault Group" w:eastAsia="Times New Roman" w:hAnsi="Renault Group" w:cs="Arial"/>
                <w:b/>
                <w:szCs w:val="18"/>
                <w:lang w:eastAsia="fr-FR"/>
              </w:rPr>
              <w:t>230</w:t>
            </w:r>
          </w:p>
        </w:tc>
      </w:tr>
      <w:tr w:rsidR="00592914" w:rsidRPr="004D42C5" w14:paraId="72126400" w14:textId="77777777" w:rsidTr="00592914">
        <w:trPr>
          <w:trHeight w:val="397"/>
        </w:trPr>
        <w:tc>
          <w:tcPr>
            <w:tcW w:w="4819" w:type="dxa"/>
            <w:tcBorders>
              <w:top w:val="single" w:sz="6" w:space="0" w:color="auto"/>
              <w:bottom w:val="single" w:sz="8" w:space="0" w:color="auto"/>
            </w:tcBorders>
            <w:vAlign w:val="center"/>
          </w:tcPr>
          <w:p w14:paraId="6B873E74" w14:textId="4B19BB7E" w:rsidR="00665C3A" w:rsidRPr="004D42C5" w:rsidRDefault="00665C3A" w:rsidP="00592914">
            <w:pPr>
              <w:tabs>
                <w:tab w:val="left" w:pos="186"/>
                <w:tab w:val="left" w:pos="248"/>
                <w:tab w:val="left" w:pos="434"/>
                <w:tab w:val="left" w:pos="496"/>
                <w:tab w:val="left" w:pos="3712"/>
                <w:tab w:val="left" w:pos="5575"/>
              </w:tabs>
              <w:overflowPunct w:val="0"/>
              <w:autoSpaceDE w:val="0"/>
              <w:autoSpaceDN w:val="0"/>
              <w:adjustRightInd w:val="0"/>
              <w:spacing w:before="0" w:line="240" w:lineRule="auto"/>
              <w:rPr>
                <w:b/>
                <w:bCs/>
                <w:szCs w:val="18"/>
                <w:lang w:val="en"/>
              </w:rPr>
            </w:pPr>
            <w:r w:rsidRPr="00873EAF">
              <w:rPr>
                <w:b/>
                <w:bCs/>
                <w:color w:val="000000"/>
                <w:szCs w:val="18"/>
                <w:lang w:val="en" w:eastAsia="fr-FR"/>
              </w:rPr>
              <w:t>Automotive Net</w:t>
            </w:r>
            <w:r>
              <w:rPr>
                <w:b/>
                <w:bCs/>
                <w:color w:val="000000"/>
                <w:szCs w:val="18"/>
                <w:lang w:val="en" w:eastAsia="fr-FR"/>
              </w:rPr>
              <w:t xml:space="preserve"> Financial Position</w:t>
            </w:r>
          </w:p>
        </w:tc>
        <w:tc>
          <w:tcPr>
            <w:tcW w:w="1560" w:type="dxa"/>
            <w:tcBorders>
              <w:top w:val="single" w:sz="6" w:space="0" w:color="auto"/>
              <w:bottom w:val="single" w:sz="8" w:space="0" w:color="auto"/>
            </w:tcBorders>
            <w:vAlign w:val="center"/>
          </w:tcPr>
          <w:p w14:paraId="7A325065" w14:textId="2A6B6680" w:rsidR="00665C3A" w:rsidRDefault="00665C3A" w:rsidP="00592914">
            <w:pPr>
              <w:tabs>
                <w:tab w:val="left" w:pos="3712"/>
                <w:tab w:val="left" w:pos="5575"/>
              </w:tabs>
              <w:spacing w:before="0" w:line="240" w:lineRule="auto"/>
              <w:jc w:val="center"/>
              <w:rPr>
                <w:b/>
                <w:bCs/>
                <w:color w:val="000000"/>
                <w:szCs w:val="18"/>
                <w:lang w:val="en" w:eastAsia="fr-FR"/>
              </w:rPr>
            </w:pPr>
            <w:r w:rsidRPr="00873EAF">
              <w:rPr>
                <w:b/>
                <w:bCs/>
                <w:color w:val="000000"/>
                <w:szCs w:val="18"/>
                <w:lang w:val="en" w:eastAsia="fr-FR"/>
              </w:rPr>
              <w:t>-1</w:t>
            </w:r>
            <w:r>
              <w:rPr>
                <w:b/>
                <w:bCs/>
                <w:color w:val="000000"/>
                <w:szCs w:val="18"/>
                <w:lang w:val="en" w:eastAsia="fr-FR"/>
              </w:rPr>
              <w:t>,100</w:t>
            </w:r>
          </w:p>
          <w:p w14:paraId="3E73E426" w14:textId="774321CF" w:rsidR="00665C3A" w:rsidRDefault="00665C3A" w:rsidP="00592914">
            <w:pPr>
              <w:tabs>
                <w:tab w:val="left" w:pos="3712"/>
                <w:tab w:val="left" w:pos="5575"/>
              </w:tabs>
              <w:spacing w:before="0" w:line="240" w:lineRule="auto"/>
              <w:jc w:val="center"/>
              <w:rPr>
                <w:b/>
                <w:szCs w:val="18"/>
                <w:lang w:val="en" w:eastAsia="fr-FR"/>
              </w:rPr>
            </w:pPr>
            <w:r w:rsidRPr="006C360F">
              <w:rPr>
                <w:b/>
                <w:bCs/>
                <w:color w:val="000000"/>
                <w:sz w:val="16"/>
                <w:szCs w:val="16"/>
                <w:lang w:val="en" w:eastAsia="fr-FR"/>
              </w:rPr>
              <w:t>at 2021-12-31</w:t>
            </w:r>
          </w:p>
        </w:tc>
        <w:tc>
          <w:tcPr>
            <w:tcW w:w="1275" w:type="dxa"/>
            <w:tcBorders>
              <w:top w:val="single" w:sz="6" w:space="0" w:color="auto"/>
              <w:bottom w:val="single" w:sz="8" w:space="0" w:color="auto"/>
            </w:tcBorders>
            <w:shd w:val="clear" w:color="auto" w:fill="auto"/>
            <w:vAlign w:val="center"/>
          </w:tcPr>
          <w:p w14:paraId="18B04127" w14:textId="72A19D40" w:rsidR="00665C3A" w:rsidRPr="000B4CAF" w:rsidRDefault="00665C3A" w:rsidP="00592914">
            <w:pPr>
              <w:tabs>
                <w:tab w:val="left" w:pos="3712"/>
                <w:tab w:val="left" w:pos="5575"/>
              </w:tabs>
              <w:spacing w:before="0" w:line="240" w:lineRule="auto"/>
              <w:jc w:val="center"/>
              <w:rPr>
                <w:b/>
                <w:bCs/>
                <w:szCs w:val="18"/>
                <w:lang w:val="en" w:eastAsia="fr-FR"/>
              </w:rPr>
            </w:pPr>
            <w:r w:rsidRPr="000B4CAF">
              <w:rPr>
                <w:b/>
                <w:bCs/>
                <w:szCs w:val="18"/>
                <w:lang w:val="en" w:eastAsia="fr-FR"/>
              </w:rPr>
              <w:t>+</w:t>
            </w:r>
            <w:r w:rsidR="00405055">
              <w:rPr>
                <w:b/>
                <w:bCs/>
                <w:szCs w:val="18"/>
                <w:lang w:val="en" w:eastAsia="fr-FR"/>
              </w:rPr>
              <w:t>549</w:t>
            </w:r>
          </w:p>
          <w:p w14:paraId="7F0450F4" w14:textId="56E7E104" w:rsidR="00665C3A" w:rsidRPr="000B4CAF"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sidRPr="000B4CAF">
              <w:rPr>
                <w:b/>
                <w:bCs/>
                <w:szCs w:val="18"/>
                <w:lang w:val="en" w:eastAsia="fr-FR"/>
              </w:rPr>
              <w:t xml:space="preserve">at </w:t>
            </w:r>
            <w:r w:rsidRPr="000B4CAF">
              <w:rPr>
                <w:b/>
                <w:bCs/>
                <w:sz w:val="16"/>
                <w:szCs w:val="16"/>
                <w:lang w:val="en" w:eastAsia="fr-FR"/>
              </w:rPr>
              <w:t>2022-12-31</w:t>
            </w:r>
          </w:p>
        </w:tc>
        <w:tc>
          <w:tcPr>
            <w:tcW w:w="1276" w:type="dxa"/>
            <w:tcBorders>
              <w:top w:val="single" w:sz="6" w:space="0" w:color="auto"/>
              <w:bottom w:val="single" w:sz="8" w:space="0" w:color="auto"/>
            </w:tcBorders>
            <w:vAlign w:val="center"/>
          </w:tcPr>
          <w:p w14:paraId="63A2A7F6" w14:textId="3CF1B968" w:rsidR="00665C3A" w:rsidRPr="004D42C5" w:rsidRDefault="00665C3A" w:rsidP="00592914">
            <w:pPr>
              <w:tabs>
                <w:tab w:val="left" w:pos="3712"/>
                <w:tab w:val="left" w:pos="5575"/>
              </w:tabs>
              <w:spacing w:before="0" w:line="240" w:lineRule="auto"/>
              <w:jc w:val="center"/>
              <w:rPr>
                <w:rFonts w:ascii="Renault Group" w:eastAsia="Times New Roman" w:hAnsi="Renault Group" w:cs="Arial"/>
                <w:b/>
                <w:szCs w:val="18"/>
                <w:lang w:eastAsia="fr-FR"/>
              </w:rPr>
            </w:pPr>
            <w:r>
              <w:rPr>
                <w:rFonts w:ascii="Renault Group" w:eastAsia="Times New Roman" w:hAnsi="Renault Group" w:cs="Arial"/>
                <w:b/>
                <w:szCs w:val="18"/>
                <w:lang w:eastAsia="fr-FR"/>
              </w:rPr>
              <w:t>+1,</w:t>
            </w:r>
            <w:r w:rsidR="00405055">
              <w:rPr>
                <w:rFonts w:ascii="Renault Group" w:eastAsia="Times New Roman" w:hAnsi="Renault Group" w:cs="Arial"/>
                <w:b/>
                <w:szCs w:val="18"/>
                <w:lang w:eastAsia="fr-FR"/>
              </w:rPr>
              <w:t>649</w:t>
            </w:r>
          </w:p>
        </w:tc>
      </w:tr>
    </w:tbl>
    <w:p w14:paraId="58644152" w14:textId="77777777" w:rsidR="00BE38D6" w:rsidRDefault="00BE38D6" w:rsidP="00BE38D6">
      <w:pPr>
        <w:keepNext/>
        <w:spacing w:before="360" w:after="120" w:line="240" w:lineRule="auto"/>
        <w:jc w:val="both"/>
        <w:outlineLvl w:val="0"/>
        <w:rPr>
          <w:rFonts w:ascii="Renault Group" w:eastAsia="Renault Group" w:hAnsi="Renault Group" w:cs="Times New Roman"/>
          <w:color w:val="988C7F"/>
          <w:sz w:val="32"/>
          <w:szCs w:val="32"/>
        </w:rPr>
      </w:pPr>
    </w:p>
    <w:p w14:paraId="192AC281" w14:textId="77777777" w:rsidR="00BE38D6" w:rsidRDefault="00BE38D6" w:rsidP="00BE38D6">
      <w:pPr>
        <w:keepNext/>
        <w:spacing w:before="360" w:after="120" w:line="240" w:lineRule="auto"/>
        <w:jc w:val="both"/>
        <w:outlineLvl w:val="0"/>
        <w:rPr>
          <w:rFonts w:ascii="Renault Group" w:eastAsia="Renault Group" w:hAnsi="Renault Group" w:cs="Times New Roman"/>
          <w:color w:val="988C7F"/>
          <w:sz w:val="32"/>
          <w:szCs w:val="32"/>
        </w:rPr>
      </w:pPr>
    </w:p>
    <w:p w14:paraId="09EBA3C6" w14:textId="77777777" w:rsidR="00BE38D6" w:rsidRPr="00600FD5" w:rsidRDefault="00BE38D6" w:rsidP="00BE38D6">
      <w:pPr>
        <w:spacing w:before="0" w:line="240" w:lineRule="auto"/>
        <w:rPr>
          <w:rFonts w:ascii="Renault Group" w:eastAsia="Renault Group" w:hAnsi="Renault Group" w:cs="Times New Roman"/>
          <w:color w:val="988C7F"/>
          <w:sz w:val="12"/>
          <w:szCs w:val="12"/>
        </w:rPr>
      </w:pPr>
    </w:p>
    <w:p w14:paraId="36A50FD5" w14:textId="77777777" w:rsidR="00324D54" w:rsidRDefault="00324D54" w:rsidP="00BE38D6">
      <w:pPr>
        <w:spacing w:after="240" w:line="240" w:lineRule="auto"/>
        <w:rPr>
          <w:color w:val="988C7F"/>
          <w:sz w:val="32"/>
          <w:szCs w:val="32"/>
          <w:lang w:val="en"/>
        </w:rPr>
      </w:pPr>
    </w:p>
    <w:p w14:paraId="24797613" w14:textId="77777777" w:rsidR="00324D54" w:rsidRDefault="00324D54" w:rsidP="00BE38D6">
      <w:pPr>
        <w:spacing w:after="240" w:line="240" w:lineRule="auto"/>
        <w:rPr>
          <w:color w:val="988C7F"/>
          <w:sz w:val="32"/>
          <w:szCs w:val="32"/>
          <w:lang w:val="en"/>
        </w:rPr>
      </w:pPr>
    </w:p>
    <w:p w14:paraId="125919C7" w14:textId="77777777" w:rsidR="00611AD8" w:rsidRDefault="00611AD8" w:rsidP="00BE38D6">
      <w:pPr>
        <w:spacing w:after="240" w:line="240" w:lineRule="auto"/>
        <w:rPr>
          <w:color w:val="988C7F"/>
          <w:sz w:val="32"/>
          <w:szCs w:val="32"/>
          <w:lang w:val="en"/>
        </w:rPr>
      </w:pPr>
    </w:p>
    <w:p w14:paraId="1F798C9A" w14:textId="77777777" w:rsidR="00611AD8" w:rsidRDefault="00611AD8" w:rsidP="00BE38D6">
      <w:pPr>
        <w:spacing w:after="240" w:line="240" w:lineRule="auto"/>
        <w:rPr>
          <w:color w:val="988C7F"/>
          <w:sz w:val="32"/>
          <w:szCs w:val="32"/>
          <w:lang w:val="en"/>
        </w:rPr>
      </w:pPr>
    </w:p>
    <w:p w14:paraId="31EF042D" w14:textId="77777777" w:rsidR="00611AD8" w:rsidRDefault="00611AD8" w:rsidP="00BE38D6">
      <w:pPr>
        <w:spacing w:after="240" w:line="240" w:lineRule="auto"/>
        <w:rPr>
          <w:color w:val="988C7F"/>
          <w:sz w:val="32"/>
          <w:szCs w:val="32"/>
          <w:lang w:val="en"/>
        </w:rPr>
      </w:pPr>
    </w:p>
    <w:p w14:paraId="007D1DD2" w14:textId="77777777" w:rsidR="00611AD8" w:rsidRDefault="00611AD8" w:rsidP="00BE38D6">
      <w:pPr>
        <w:spacing w:after="240" w:line="240" w:lineRule="auto"/>
        <w:rPr>
          <w:color w:val="988C7F"/>
          <w:sz w:val="32"/>
          <w:szCs w:val="32"/>
          <w:lang w:val="en"/>
        </w:rPr>
      </w:pPr>
    </w:p>
    <w:p w14:paraId="6BBE1A90" w14:textId="77777777" w:rsidR="00611AD8" w:rsidRDefault="00611AD8" w:rsidP="00BE38D6">
      <w:pPr>
        <w:spacing w:after="240" w:line="240" w:lineRule="auto"/>
        <w:rPr>
          <w:color w:val="988C7F"/>
          <w:sz w:val="32"/>
          <w:szCs w:val="32"/>
          <w:lang w:val="en"/>
        </w:rPr>
      </w:pPr>
    </w:p>
    <w:p w14:paraId="7030E6DE" w14:textId="77777777" w:rsidR="00611AD8" w:rsidRDefault="00611AD8" w:rsidP="00BE38D6">
      <w:pPr>
        <w:spacing w:after="240" w:line="240" w:lineRule="auto"/>
        <w:rPr>
          <w:color w:val="988C7F"/>
          <w:sz w:val="32"/>
          <w:szCs w:val="32"/>
          <w:lang w:val="en"/>
        </w:rPr>
      </w:pPr>
    </w:p>
    <w:p w14:paraId="2FF68ACB" w14:textId="2C0D57D3" w:rsidR="00BE38D6" w:rsidRPr="00600FD5" w:rsidRDefault="007A6061" w:rsidP="00D033F0">
      <w:pPr>
        <w:spacing w:before="360" w:after="120" w:line="240" w:lineRule="auto"/>
        <w:rPr>
          <w:rFonts w:ascii="Renault Group" w:eastAsia="Renault Group" w:hAnsi="Renault Group" w:cs="Times New Roman"/>
          <w:color w:val="988C7F"/>
          <w:sz w:val="32"/>
          <w:szCs w:val="32"/>
          <w:lang w:val="en-US"/>
        </w:rPr>
      </w:pPr>
      <w:r>
        <w:rPr>
          <w:color w:val="988C7F"/>
          <w:sz w:val="32"/>
          <w:szCs w:val="32"/>
          <w:lang w:val="en"/>
        </w:rPr>
        <w:br w:type="page"/>
      </w:r>
      <w:r w:rsidR="001B08A8">
        <w:rPr>
          <w:color w:val="988C7F"/>
          <w:sz w:val="32"/>
          <w:szCs w:val="32"/>
          <w:lang w:val="en"/>
        </w:rPr>
        <w:lastRenderedPageBreak/>
        <w:t>A</w:t>
      </w:r>
      <w:r w:rsidR="00BE38D6">
        <w:rPr>
          <w:color w:val="988C7F"/>
          <w:sz w:val="32"/>
          <w:szCs w:val="32"/>
          <w:lang w:val="en"/>
        </w:rPr>
        <w:t>djustments of AVTOVAZ and Renault Russia</w:t>
      </w:r>
      <w:r w:rsidR="00BE38D6">
        <w:rPr>
          <w:lang w:val="en"/>
        </w:rPr>
        <w:t xml:space="preserve"> </w:t>
      </w:r>
      <w:r w:rsidR="00BE38D6" w:rsidRPr="00171141">
        <w:rPr>
          <w:color w:val="988C7F"/>
          <w:sz w:val="32"/>
          <w:szCs w:val="32"/>
          <w:lang w:val="en"/>
        </w:rPr>
        <w:t>activities in</w:t>
      </w:r>
      <w:r w:rsidR="00BE38D6">
        <w:rPr>
          <w:color w:val="988C7F"/>
          <w:sz w:val="32"/>
          <w:szCs w:val="32"/>
          <w:lang w:val="en"/>
        </w:rPr>
        <w:t xml:space="preserve"> 2021</w:t>
      </w:r>
    </w:p>
    <w:tbl>
      <w:tblPr>
        <w:tblW w:w="7653" w:type="dxa"/>
        <w:tblLayout w:type="fixed"/>
        <w:tblCellMar>
          <w:left w:w="70" w:type="dxa"/>
          <w:right w:w="70" w:type="dxa"/>
        </w:tblCellMar>
        <w:tblLook w:val="04A0" w:firstRow="1" w:lastRow="0" w:firstColumn="1" w:lastColumn="0" w:noHBand="0" w:noVBand="1"/>
      </w:tblPr>
      <w:tblGrid>
        <w:gridCol w:w="3402"/>
        <w:gridCol w:w="1417"/>
        <w:gridCol w:w="1417"/>
        <w:gridCol w:w="1417"/>
      </w:tblGrid>
      <w:tr w:rsidR="00D235DB" w:rsidRPr="00873EAF" w14:paraId="3936B7C5" w14:textId="77777777" w:rsidTr="00592914">
        <w:trPr>
          <w:trHeight w:val="737"/>
        </w:trPr>
        <w:tc>
          <w:tcPr>
            <w:tcW w:w="3402" w:type="dxa"/>
            <w:tcBorders>
              <w:top w:val="single" w:sz="8" w:space="0" w:color="auto"/>
              <w:left w:val="single" w:sz="8" w:space="0" w:color="auto"/>
              <w:right w:val="single" w:sz="4" w:space="0" w:color="auto"/>
            </w:tcBorders>
            <w:shd w:val="clear" w:color="000000" w:fill="988C7F"/>
            <w:vAlign w:val="center"/>
          </w:tcPr>
          <w:p w14:paraId="20375980" w14:textId="77777777" w:rsidR="00285DC9" w:rsidRPr="00873EAF" w:rsidRDefault="00285DC9" w:rsidP="000B4B76">
            <w:pPr>
              <w:spacing w:before="0" w:line="240" w:lineRule="auto"/>
              <w:ind w:right="-47"/>
              <w:jc w:val="both"/>
              <w:rPr>
                <w:rFonts w:ascii="Renault Group" w:eastAsia="Times New Roman" w:hAnsi="Renault Group" w:cs="Calibri"/>
                <w:b/>
                <w:bCs/>
                <w:color w:val="FFFFFF"/>
                <w:szCs w:val="18"/>
                <w:lang w:eastAsia="fr-FR"/>
              </w:rPr>
            </w:pPr>
            <w:r w:rsidRPr="00873EAF">
              <w:rPr>
                <w:b/>
                <w:bCs/>
                <w:color w:val="FFFFFF"/>
                <w:szCs w:val="18"/>
                <w:lang w:val="en" w:eastAsia="fr-FR"/>
              </w:rPr>
              <w:t xml:space="preserve">  In €</w:t>
            </w:r>
            <w:r>
              <w:rPr>
                <w:b/>
                <w:bCs/>
                <w:color w:val="FFFFFF"/>
                <w:szCs w:val="18"/>
                <w:lang w:val="en" w:eastAsia="fr-FR"/>
              </w:rPr>
              <w:t xml:space="preserve"> million</w:t>
            </w:r>
          </w:p>
        </w:tc>
        <w:tc>
          <w:tcPr>
            <w:tcW w:w="1417" w:type="dxa"/>
            <w:tcBorders>
              <w:top w:val="single" w:sz="8" w:space="0" w:color="auto"/>
              <w:left w:val="single" w:sz="4" w:space="0" w:color="auto"/>
              <w:right w:val="single" w:sz="4" w:space="0" w:color="auto"/>
            </w:tcBorders>
            <w:shd w:val="clear" w:color="000000" w:fill="988C7F"/>
            <w:vAlign w:val="center"/>
          </w:tcPr>
          <w:p w14:paraId="40129294" w14:textId="77777777" w:rsidR="00285DC9" w:rsidRPr="00873EAF" w:rsidRDefault="00285DC9" w:rsidP="00A63696">
            <w:pPr>
              <w:spacing w:before="0" w:line="240" w:lineRule="auto"/>
              <w:jc w:val="center"/>
              <w:rPr>
                <w:rFonts w:ascii="Renault Group" w:eastAsia="Times New Roman" w:hAnsi="Renault Group" w:cs="Calibri"/>
                <w:b/>
                <w:bCs/>
                <w:color w:val="FFFFFF"/>
                <w:sz w:val="20"/>
                <w:lang w:eastAsia="fr-FR"/>
              </w:rPr>
            </w:pPr>
            <w:r w:rsidRPr="00873EAF">
              <w:rPr>
                <w:b/>
                <w:bCs/>
                <w:color w:val="FFFFFF"/>
                <w:sz w:val="20"/>
                <w:lang w:val="en" w:eastAsia="fr-FR"/>
              </w:rPr>
              <w:t>2021</w:t>
            </w:r>
            <w:r>
              <w:rPr>
                <w:b/>
                <w:bCs/>
                <w:color w:val="FFFFFF"/>
                <w:sz w:val="20"/>
                <w:lang w:val="en" w:eastAsia="fr-FR"/>
              </w:rPr>
              <w:t xml:space="preserve"> FY</w:t>
            </w:r>
          </w:p>
          <w:p w14:paraId="3393E076" w14:textId="238E0F36" w:rsidR="00285DC9" w:rsidRPr="00873EAF" w:rsidRDefault="00285DC9" w:rsidP="00A63696">
            <w:pPr>
              <w:spacing w:before="0" w:line="240" w:lineRule="auto"/>
              <w:jc w:val="center"/>
              <w:rPr>
                <w:rFonts w:ascii="Renault Group" w:eastAsia="Times New Roman" w:hAnsi="Renault Group" w:cs="Calibri"/>
                <w:b/>
                <w:bCs/>
                <w:color w:val="FFFFFF"/>
                <w:sz w:val="20"/>
                <w:lang w:eastAsia="fr-FR"/>
              </w:rPr>
            </w:pPr>
            <w:r w:rsidRPr="00873EAF">
              <w:rPr>
                <w:b/>
                <w:bCs/>
                <w:color w:val="FFFFFF"/>
                <w:sz w:val="20"/>
                <w:lang w:val="en" w:eastAsia="fr-FR"/>
              </w:rPr>
              <w:t>Published</w:t>
            </w:r>
          </w:p>
        </w:tc>
        <w:tc>
          <w:tcPr>
            <w:tcW w:w="1417" w:type="dxa"/>
            <w:tcBorders>
              <w:top w:val="single" w:sz="8" w:space="0" w:color="auto"/>
              <w:left w:val="single" w:sz="4" w:space="0" w:color="auto"/>
              <w:right w:val="single" w:sz="4" w:space="0" w:color="auto"/>
            </w:tcBorders>
            <w:shd w:val="clear" w:color="000000" w:fill="988C7F"/>
            <w:vAlign w:val="center"/>
          </w:tcPr>
          <w:p w14:paraId="67308E4B" w14:textId="77777777" w:rsidR="00285DC9" w:rsidRPr="00873EAF" w:rsidRDefault="00285DC9" w:rsidP="00A63696">
            <w:pPr>
              <w:spacing w:before="0" w:line="240" w:lineRule="auto"/>
              <w:jc w:val="center"/>
              <w:rPr>
                <w:rFonts w:ascii="Renault Group" w:eastAsia="Times New Roman" w:hAnsi="Renault Group" w:cs="Calibri"/>
                <w:b/>
                <w:bCs/>
                <w:color w:val="FFFFFF"/>
                <w:sz w:val="20"/>
                <w:lang w:eastAsia="fr-FR"/>
              </w:rPr>
            </w:pPr>
            <w:r>
              <w:rPr>
                <w:b/>
                <w:bCs/>
                <w:color w:val="FFFFFF"/>
                <w:sz w:val="20"/>
                <w:lang w:val="en" w:eastAsia="fr-FR"/>
              </w:rPr>
              <w:t>2021 FY</w:t>
            </w:r>
          </w:p>
          <w:p w14:paraId="4B16E8DB" w14:textId="4CCFB7CD" w:rsidR="00285DC9" w:rsidRPr="00873EAF" w:rsidRDefault="00285DC9" w:rsidP="000B4B76">
            <w:pPr>
              <w:spacing w:before="0" w:line="240" w:lineRule="auto"/>
              <w:ind w:right="-46"/>
              <w:jc w:val="center"/>
              <w:rPr>
                <w:rFonts w:ascii="Renault Group" w:eastAsia="Times New Roman" w:hAnsi="Renault Group" w:cs="Calibri"/>
                <w:b/>
                <w:bCs/>
                <w:color w:val="FFFFFF"/>
                <w:sz w:val="20"/>
                <w:lang w:eastAsia="fr-FR"/>
              </w:rPr>
            </w:pPr>
            <w:r>
              <w:rPr>
                <w:rFonts w:ascii="Renault Group" w:eastAsia="Times New Roman" w:hAnsi="Renault Group" w:cs="Calibri"/>
                <w:b/>
                <w:bCs/>
                <w:color w:val="FFFFFF"/>
                <w:sz w:val="20"/>
                <w:lang w:eastAsia="fr-FR"/>
              </w:rPr>
              <w:t>adjusted</w:t>
            </w:r>
          </w:p>
        </w:tc>
        <w:tc>
          <w:tcPr>
            <w:tcW w:w="1417" w:type="dxa"/>
            <w:tcBorders>
              <w:top w:val="single" w:sz="8" w:space="0" w:color="auto"/>
              <w:left w:val="single" w:sz="4" w:space="0" w:color="auto"/>
              <w:right w:val="single" w:sz="8" w:space="0" w:color="auto"/>
            </w:tcBorders>
            <w:shd w:val="clear" w:color="000000" w:fill="988C7F"/>
            <w:vAlign w:val="center"/>
          </w:tcPr>
          <w:p w14:paraId="48EFF92B" w14:textId="77777777" w:rsidR="00285DC9" w:rsidRPr="00873EAF" w:rsidRDefault="00285DC9" w:rsidP="00A63696">
            <w:pPr>
              <w:spacing w:before="0" w:line="240" w:lineRule="auto"/>
              <w:jc w:val="center"/>
              <w:rPr>
                <w:rFonts w:ascii="Renault Group" w:eastAsia="Times New Roman" w:hAnsi="Renault Group" w:cs="Calibri"/>
                <w:b/>
                <w:bCs/>
                <w:color w:val="FFFFFF"/>
                <w:sz w:val="20"/>
                <w:lang w:eastAsia="fr-FR"/>
              </w:rPr>
            </w:pPr>
            <w:r>
              <w:rPr>
                <w:rFonts w:ascii="Renault Group" w:eastAsia="Times New Roman" w:hAnsi="Renault Group" w:cs="Calibri"/>
                <w:b/>
                <w:bCs/>
                <w:color w:val="FFFFFF"/>
                <w:sz w:val="20"/>
                <w:lang w:eastAsia="fr-FR"/>
              </w:rPr>
              <w:t>Change</w:t>
            </w:r>
          </w:p>
        </w:tc>
      </w:tr>
      <w:tr w:rsidR="00D235DB" w:rsidRPr="00873EAF" w14:paraId="36B489BD" w14:textId="77777777" w:rsidTr="00592914">
        <w:trPr>
          <w:trHeight w:val="257"/>
        </w:trPr>
        <w:tc>
          <w:tcPr>
            <w:tcW w:w="3402" w:type="dxa"/>
            <w:tcBorders>
              <w:left w:val="single" w:sz="8" w:space="0" w:color="auto"/>
              <w:bottom w:val="single" w:sz="8" w:space="0" w:color="auto"/>
              <w:right w:val="single" w:sz="4" w:space="0" w:color="auto"/>
            </w:tcBorders>
            <w:shd w:val="clear" w:color="auto" w:fill="auto"/>
            <w:vAlign w:val="center"/>
          </w:tcPr>
          <w:p w14:paraId="16BBF36E" w14:textId="77777777" w:rsidR="00BE38D6" w:rsidRPr="00873EAF" w:rsidRDefault="00BE38D6" w:rsidP="00A63696">
            <w:pPr>
              <w:spacing w:before="0" w:line="240" w:lineRule="auto"/>
              <w:jc w:val="both"/>
              <w:rPr>
                <w:rFonts w:ascii="Renault Group" w:eastAsia="Times New Roman" w:hAnsi="Renault Group" w:cs="Calibri"/>
                <w:b/>
                <w:bCs/>
                <w:color w:val="000000"/>
                <w:szCs w:val="18"/>
                <w:lang w:eastAsia="fr-FR"/>
              </w:rPr>
            </w:pPr>
            <w:r w:rsidRPr="00873EAF">
              <w:rPr>
                <w:b/>
                <w:bCs/>
                <w:color w:val="000000"/>
                <w:szCs w:val="18"/>
                <w:lang w:val="en" w:eastAsia="fr-FR"/>
              </w:rPr>
              <w:t xml:space="preserve">Group revenue </w:t>
            </w:r>
          </w:p>
        </w:tc>
        <w:tc>
          <w:tcPr>
            <w:tcW w:w="1417" w:type="dxa"/>
            <w:tcBorders>
              <w:left w:val="single" w:sz="4" w:space="0" w:color="auto"/>
              <w:bottom w:val="single" w:sz="8" w:space="0" w:color="auto"/>
              <w:right w:val="single" w:sz="4" w:space="0" w:color="auto"/>
            </w:tcBorders>
            <w:shd w:val="clear" w:color="auto" w:fill="auto"/>
            <w:vAlign w:val="center"/>
          </w:tcPr>
          <w:p w14:paraId="4885B783"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46</w:t>
            </w:r>
            <w:r>
              <w:rPr>
                <w:b/>
                <w:bCs/>
                <w:color w:val="000000"/>
                <w:szCs w:val="18"/>
                <w:lang w:val="en" w:eastAsia="fr-FR"/>
              </w:rPr>
              <w:t>,</w:t>
            </w:r>
            <w:r w:rsidRPr="00873EAF">
              <w:rPr>
                <w:b/>
                <w:bCs/>
                <w:color w:val="000000"/>
                <w:szCs w:val="18"/>
                <w:lang w:val="en" w:eastAsia="fr-FR"/>
              </w:rPr>
              <w:t>213</w:t>
            </w:r>
          </w:p>
        </w:tc>
        <w:tc>
          <w:tcPr>
            <w:tcW w:w="1417" w:type="dxa"/>
            <w:tcBorders>
              <w:left w:val="single" w:sz="4" w:space="0" w:color="auto"/>
              <w:bottom w:val="single" w:sz="8" w:space="0" w:color="auto"/>
              <w:right w:val="single" w:sz="4" w:space="0" w:color="auto"/>
            </w:tcBorders>
            <w:shd w:val="clear" w:color="auto" w:fill="auto"/>
            <w:vAlign w:val="center"/>
          </w:tcPr>
          <w:p w14:paraId="4CDDEF3C"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41,659</w:t>
            </w:r>
          </w:p>
        </w:tc>
        <w:tc>
          <w:tcPr>
            <w:tcW w:w="1417" w:type="dxa"/>
            <w:tcBorders>
              <w:left w:val="single" w:sz="4" w:space="0" w:color="auto"/>
              <w:bottom w:val="single" w:sz="8" w:space="0" w:color="auto"/>
              <w:right w:val="single" w:sz="8" w:space="0" w:color="auto"/>
            </w:tcBorders>
            <w:shd w:val="clear" w:color="auto" w:fill="auto"/>
            <w:vAlign w:val="center"/>
          </w:tcPr>
          <w:p w14:paraId="792FB80B"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-4,554</w:t>
            </w:r>
          </w:p>
        </w:tc>
      </w:tr>
      <w:tr w:rsidR="00D235DB" w:rsidRPr="00873EAF" w14:paraId="1FB6144A" w14:textId="77777777" w:rsidTr="00592914">
        <w:trPr>
          <w:trHeight w:val="257"/>
        </w:trPr>
        <w:tc>
          <w:tcPr>
            <w:tcW w:w="3402" w:type="dxa"/>
            <w:tcBorders>
              <w:top w:val="single" w:sz="8" w:space="0" w:color="auto"/>
              <w:left w:val="single" w:sz="8" w:space="0" w:color="auto"/>
              <w:right w:val="single" w:sz="4" w:space="0" w:color="auto"/>
            </w:tcBorders>
            <w:shd w:val="clear" w:color="auto" w:fill="auto"/>
            <w:vAlign w:val="center"/>
          </w:tcPr>
          <w:p w14:paraId="4714E85C" w14:textId="77777777" w:rsidR="00BE38D6" w:rsidRPr="00873EAF" w:rsidRDefault="00BE38D6" w:rsidP="00A63696">
            <w:pPr>
              <w:spacing w:before="0" w:line="240" w:lineRule="auto"/>
              <w:jc w:val="both"/>
              <w:rPr>
                <w:rFonts w:ascii="Renault Group" w:eastAsia="Times New Roman" w:hAnsi="Renault Group" w:cs="Calibri"/>
                <w:b/>
                <w:bCs/>
                <w:color w:val="000000"/>
                <w:szCs w:val="18"/>
                <w:lang w:eastAsia="fr-FR"/>
              </w:rPr>
            </w:pPr>
            <w:r w:rsidRPr="00873EAF">
              <w:rPr>
                <w:b/>
                <w:bCs/>
                <w:color w:val="000000"/>
                <w:szCs w:val="18"/>
                <w:lang w:val="en" w:eastAsia="fr-FR"/>
              </w:rPr>
              <w:t xml:space="preserve">Operating margin </w:t>
            </w:r>
          </w:p>
        </w:tc>
        <w:tc>
          <w:tcPr>
            <w:tcW w:w="1417" w:type="dxa"/>
            <w:tcBorders>
              <w:top w:val="single" w:sz="8" w:space="0" w:color="auto"/>
              <w:left w:val="single" w:sz="4" w:space="0" w:color="auto"/>
              <w:right w:val="single" w:sz="4" w:space="0" w:color="auto"/>
            </w:tcBorders>
            <w:shd w:val="clear" w:color="auto" w:fill="auto"/>
            <w:vAlign w:val="center"/>
          </w:tcPr>
          <w:p w14:paraId="5CF1552E"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Pr>
                <w:b/>
                <w:bCs/>
                <w:color w:val="000000"/>
                <w:szCs w:val="18"/>
                <w:lang w:val="en" w:eastAsia="fr-FR"/>
              </w:rPr>
              <w:t>,</w:t>
            </w:r>
            <w:r w:rsidRPr="00873EAF">
              <w:rPr>
                <w:b/>
                <w:bCs/>
                <w:color w:val="000000"/>
                <w:szCs w:val="18"/>
                <w:lang w:val="en" w:eastAsia="fr-FR"/>
              </w:rPr>
              <w:t>663</w:t>
            </w:r>
          </w:p>
        </w:tc>
        <w:tc>
          <w:tcPr>
            <w:tcW w:w="1417" w:type="dxa"/>
            <w:tcBorders>
              <w:top w:val="single" w:sz="8" w:space="0" w:color="auto"/>
              <w:left w:val="single" w:sz="4" w:space="0" w:color="auto"/>
              <w:right w:val="single" w:sz="4" w:space="0" w:color="auto"/>
            </w:tcBorders>
            <w:shd w:val="clear" w:color="auto" w:fill="auto"/>
            <w:vAlign w:val="center"/>
          </w:tcPr>
          <w:p w14:paraId="315DA5EC"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1,153</w:t>
            </w:r>
          </w:p>
        </w:tc>
        <w:tc>
          <w:tcPr>
            <w:tcW w:w="1417" w:type="dxa"/>
            <w:tcBorders>
              <w:top w:val="single" w:sz="8" w:space="0" w:color="auto"/>
              <w:left w:val="single" w:sz="4" w:space="0" w:color="auto"/>
              <w:right w:val="single" w:sz="8" w:space="0" w:color="auto"/>
            </w:tcBorders>
            <w:shd w:val="clear" w:color="auto" w:fill="auto"/>
            <w:vAlign w:val="center"/>
          </w:tcPr>
          <w:p w14:paraId="70B30AE6"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-510</w:t>
            </w:r>
          </w:p>
        </w:tc>
      </w:tr>
      <w:tr w:rsidR="00D235DB" w:rsidRPr="00873EAF" w14:paraId="1B607A0A" w14:textId="77777777" w:rsidTr="00592914">
        <w:trPr>
          <w:trHeight w:val="385"/>
        </w:trPr>
        <w:tc>
          <w:tcPr>
            <w:tcW w:w="3402" w:type="dxa"/>
            <w:tcBorders>
              <w:left w:val="single" w:sz="8" w:space="0" w:color="auto"/>
              <w:bottom w:val="single" w:sz="8" w:space="0" w:color="auto"/>
              <w:right w:val="single" w:sz="4" w:space="0" w:color="auto"/>
            </w:tcBorders>
            <w:shd w:val="clear" w:color="auto" w:fill="auto"/>
            <w:vAlign w:val="center"/>
          </w:tcPr>
          <w:p w14:paraId="273522BE" w14:textId="77777777" w:rsidR="00BE38D6" w:rsidRPr="00873EAF" w:rsidRDefault="00BE38D6" w:rsidP="00A63696">
            <w:pPr>
              <w:spacing w:before="0" w:line="240" w:lineRule="auto"/>
              <w:jc w:val="both"/>
              <w:rPr>
                <w:rFonts w:ascii="Renault Group" w:eastAsia="Times New Roman" w:hAnsi="Renault Group" w:cs="Calibri"/>
                <w:i/>
                <w:iCs/>
                <w:color w:val="000000"/>
                <w:szCs w:val="18"/>
                <w:lang w:eastAsia="fr-FR"/>
              </w:rPr>
            </w:pPr>
            <w:r w:rsidRPr="00873EAF">
              <w:rPr>
                <w:i/>
                <w:iCs/>
                <w:color w:val="000000"/>
                <w:szCs w:val="18"/>
                <w:lang w:val="en" w:eastAsia="fr-FR"/>
              </w:rPr>
              <w:t xml:space="preserve">% of </w:t>
            </w:r>
            <w:r>
              <w:rPr>
                <w:i/>
                <w:iCs/>
                <w:color w:val="000000"/>
                <w:szCs w:val="18"/>
                <w:lang w:val="en" w:eastAsia="fr-FR"/>
              </w:rPr>
              <w:t>revenue</w:t>
            </w:r>
            <w:r w:rsidRPr="00873EAF">
              <w:rPr>
                <w:i/>
                <w:iCs/>
                <w:color w:val="000000"/>
                <w:szCs w:val="18"/>
                <w:lang w:val="en" w:eastAsia="fr-FR"/>
              </w:rPr>
              <w:t xml:space="preserve"> </w:t>
            </w:r>
          </w:p>
        </w:tc>
        <w:tc>
          <w:tcPr>
            <w:tcW w:w="1417" w:type="dxa"/>
            <w:tcBorders>
              <w:left w:val="single" w:sz="4" w:space="0" w:color="auto"/>
              <w:bottom w:val="single" w:sz="8" w:space="0" w:color="auto"/>
              <w:right w:val="single" w:sz="4" w:space="0" w:color="auto"/>
            </w:tcBorders>
            <w:shd w:val="clear" w:color="auto" w:fill="auto"/>
            <w:vAlign w:val="center"/>
          </w:tcPr>
          <w:p w14:paraId="1FD0E02D" w14:textId="77777777" w:rsidR="00BE38D6" w:rsidRPr="00D033F0" w:rsidRDefault="00BE38D6" w:rsidP="00A63696">
            <w:pPr>
              <w:spacing w:before="0" w:line="240" w:lineRule="auto"/>
              <w:jc w:val="center"/>
              <w:rPr>
                <w:rFonts w:ascii="Renault Group" w:eastAsia="Times New Roman" w:hAnsi="Renault Group" w:cs="Calibri"/>
                <w:i/>
                <w:color w:val="000000"/>
                <w:szCs w:val="18"/>
                <w:lang w:eastAsia="fr-FR"/>
              </w:rPr>
            </w:pPr>
            <w:r w:rsidRPr="00D033F0">
              <w:rPr>
                <w:i/>
                <w:color w:val="000000"/>
                <w:szCs w:val="18"/>
                <w:lang w:val="en" w:eastAsia="fr-FR"/>
              </w:rPr>
              <w:t>3.6%</w:t>
            </w:r>
          </w:p>
        </w:tc>
        <w:tc>
          <w:tcPr>
            <w:tcW w:w="1417" w:type="dxa"/>
            <w:tcBorders>
              <w:left w:val="single" w:sz="4" w:space="0" w:color="auto"/>
              <w:bottom w:val="single" w:sz="8" w:space="0" w:color="auto"/>
              <w:right w:val="single" w:sz="4" w:space="0" w:color="auto"/>
            </w:tcBorders>
            <w:shd w:val="clear" w:color="auto" w:fill="auto"/>
            <w:vAlign w:val="center"/>
          </w:tcPr>
          <w:p w14:paraId="2B34E6BB" w14:textId="77777777" w:rsidR="00BE38D6" w:rsidRPr="00F11FD6" w:rsidRDefault="00BE38D6" w:rsidP="00A63696">
            <w:pPr>
              <w:spacing w:before="0" w:line="240" w:lineRule="auto"/>
              <w:jc w:val="center"/>
              <w:rPr>
                <w:rFonts w:ascii="Renault Group" w:eastAsia="Times New Roman" w:hAnsi="Renault Group" w:cs="Calibri"/>
                <w:i/>
                <w:szCs w:val="18"/>
                <w:lang w:eastAsia="fr-FR"/>
              </w:rPr>
            </w:pPr>
            <w:r w:rsidRPr="00F11FD6">
              <w:rPr>
                <w:i/>
                <w:szCs w:val="18"/>
                <w:lang w:val="en" w:eastAsia="fr-FR"/>
              </w:rPr>
              <w:t>2.8%</w:t>
            </w:r>
          </w:p>
        </w:tc>
        <w:tc>
          <w:tcPr>
            <w:tcW w:w="1417" w:type="dxa"/>
            <w:tcBorders>
              <w:left w:val="single" w:sz="4" w:space="0" w:color="auto"/>
              <w:bottom w:val="single" w:sz="8" w:space="0" w:color="auto"/>
              <w:right w:val="single" w:sz="8" w:space="0" w:color="auto"/>
            </w:tcBorders>
            <w:shd w:val="clear" w:color="auto" w:fill="auto"/>
            <w:vAlign w:val="center"/>
          </w:tcPr>
          <w:p w14:paraId="2784593E" w14:textId="4C3065AE" w:rsidR="00BE38D6" w:rsidRPr="00F11FD6" w:rsidRDefault="00BE38D6" w:rsidP="00A63696">
            <w:pPr>
              <w:spacing w:before="0" w:line="240" w:lineRule="auto"/>
              <w:jc w:val="center"/>
              <w:rPr>
                <w:rFonts w:ascii="Renault Group" w:eastAsia="Times New Roman" w:hAnsi="Renault Group" w:cs="Calibri"/>
                <w:i/>
                <w:szCs w:val="18"/>
                <w:lang w:eastAsia="fr-FR"/>
              </w:rPr>
            </w:pPr>
            <w:r w:rsidRPr="00F11FD6">
              <w:rPr>
                <w:szCs w:val="18"/>
                <w:lang w:val="en" w:eastAsia="fr-FR"/>
              </w:rPr>
              <w:t xml:space="preserve"> </w:t>
            </w:r>
            <w:r w:rsidRPr="00F11FD6">
              <w:rPr>
                <w:i/>
                <w:szCs w:val="18"/>
                <w:lang w:val="en" w:eastAsia="fr-FR"/>
              </w:rPr>
              <w:t>-0.8pt</w:t>
            </w:r>
          </w:p>
        </w:tc>
      </w:tr>
      <w:tr w:rsidR="00D235DB" w:rsidRPr="00873EAF" w14:paraId="5BB6A417" w14:textId="77777777" w:rsidTr="00592914">
        <w:trPr>
          <w:trHeight w:val="215"/>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5F36954B" w14:textId="77777777" w:rsidR="00BE38D6" w:rsidRPr="00BF3D95" w:rsidRDefault="00BE38D6" w:rsidP="00A63696">
            <w:pPr>
              <w:spacing w:before="0" w:line="240" w:lineRule="auto"/>
              <w:rPr>
                <w:rFonts w:ascii="Renault Group" w:eastAsia="Times New Roman" w:hAnsi="Renault Group" w:cs="Calibri"/>
                <w:b/>
                <w:bCs/>
                <w:color w:val="000000"/>
                <w:szCs w:val="18"/>
                <w:lang w:val="en-US" w:eastAsia="fr-FR"/>
              </w:rPr>
            </w:pPr>
            <w:r w:rsidRPr="00873EAF">
              <w:rPr>
                <w:b/>
                <w:bCs/>
                <w:color w:val="000000"/>
                <w:szCs w:val="18"/>
                <w:lang w:val="en" w:eastAsia="fr-FR"/>
              </w:rPr>
              <w:t xml:space="preserve">Other operating income and expenses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349AF643"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-265</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37E633B8"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-253</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155AE958"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+12</w:t>
            </w:r>
          </w:p>
        </w:tc>
      </w:tr>
      <w:tr w:rsidR="00D235DB" w:rsidRPr="00873EAF" w14:paraId="68C66968" w14:textId="77777777" w:rsidTr="00592914">
        <w:trPr>
          <w:trHeight w:val="385"/>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08C1FF5E" w14:textId="77777777" w:rsidR="00BE38D6" w:rsidRPr="00873EAF" w:rsidRDefault="00BE38D6" w:rsidP="00A63696">
            <w:pPr>
              <w:spacing w:before="0" w:line="240" w:lineRule="auto"/>
              <w:jc w:val="both"/>
              <w:rPr>
                <w:rFonts w:ascii="Renault Group" w:eastAsia="Times New Roman" w:hAnsi="Renault Group" w:cs="Calibri"/>
                <w:b/>
                <w:bCs/>
                <w:color w:val="000000"/>
                <w:szCs w:val="18"/>
                <w:lang w:eastAsia="fr-FR"/>
              </w:rPr>
            </w:pPr>
            <w:r w:rsidRPr="00873EAF">
              <w:rPr>
                <w:b/>
                <w:bCs/>
                <w:color w:val="000000"/>
                <w:szCs w:val="18"/>
                <w:lang w:val="en" w:eastAsia="fr-FR"/>
              </w:rPr>
              <w:t xml:space="preserve">Operating income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5C6E6F05"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Pr>
                <w:b/>
                <w:bCs/>
                <w:color w:val="000000"/>
                <w:szCs w:val="18"/>
                <w:lang w:val="en" w:eastAsia="fr-FR"/>
              </w:rPr>
              <w:t>,</w:t>
            </w:r>
            <w:r w:rsidRPr="00873EAF">
              <w:rPr>
                <w:b/>
                <w:bCs/>
                <w:color w:val="000000"/>
                <w:szCs w:val="18"/>
                <w:lang w:val="en" w:eastAsia="fr-FR"/>
              </w:rPr>
              <w:t>398</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13A5F473"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900</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609FAD40"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-498</w:t>
            </w:r>
          </w:p>
        </w:tc>
      </w:tr>
      <w:tr w:rsidR="00D235DB" w:rsidRPr="00873EAF" w14:paraId="73F0FC61" w14:textId="77777777" w:rsidTr="00592914">
        <w:trPr>
          <w:trHeight w:val="257"/>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1EC6AFF9" w14:textId="77777777" w:rsidR="00BE38D6" w:rsidRPr="00BF3D95" w:rsidRDefault="00BE38D6" w:rsidP="00A63696">
            <w:pPr>
              <w:spacing w:before="0" w:line="240" w:lineRule="auto"/>
              <w:jc w:val="both"/>
              <w:rPr>
                <w:rFonts w:ascii="Renault Group" w:eastAsia="Times New Roman" w:hAnsi="Renault Group" w:cs="Calibri"/>
                <w:b/>
                <w:bCs/>
                <w:color w:val="000000"/>
                <w:szCs w:val="18"/>
                <w:lang w:val="en-US" w:eastAsia="fr-FR"/>
              </w:rPr>
            </w:pPr>
            <w:r w:rsidRPr="007A1F4A">
              <w:rPr>
                <w:b/>
                <w:bCs/>
                <w:lang w:val="en-US"/>
              </w:rPr>
              <w:t>Net financial income and expenses</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64F2AF30"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-350</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4D37B50E"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-295</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6D29B426"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+55</w:t>
            </w:r>
          </w:p>
        </w:tc>
      </w:tr>
      <w:tr w:rsidR="00D235DB" w:rsidRPr="00873EAF" w14:paraId="3100B40D" w14:textId="77777777" w:rsidTr="00592914">
        <w:trPr>
          <w:trHeight w:val="257"/>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7F0F08B3" w14:textId="77777777" w:rsidR="00BE38D6" w:rsidRPr="00873EAF" w:rsidRDefault="00BE38D6" w:rsidP="00592914">
            <w:pPr>
              <w:spacing w:before="0" w:line="240" w:lineRule="auto"/>
              <w:rPr>
                <w:rFonts w:ascii="Renault Group" w:eastAsia="Times New Roman" w:hAnsi="Renault Group" w:cs="Calibri"/>
                <w:b/>
                <w:bCs/>
                <w:color w:val="000000"/>
                <w:szCs w:val="18"/>
                <w:lang w:eastAsia="fr-FR"/>
              </w:rPr>
            </w:pPr>
            <w:r w:rsidRPr="00E057CF">
              <w:rPr>
                <w:b/>
                <w:bCs/>
              </w:rPr>
              <w:t>Contribution from associated companies</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76ABDC2F"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515</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3A2AEDFC"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515</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1BF8C094"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rFonts w:ascii="Renault Group" w:eastAsia="Times New Roman" w:hAnsi="Renault Group" w:cs="Calibri"/>
                <w:b/>
                <w:bCs/>
                <w:szCs w:val="18"/>
                <w:lang w:eastAsia="fr-FR"/>
              </w:rPr>
              <w:t>-</w:t>
            </w:r>
          </w:p>
        </w:tc>
      </w:tr>
      <w:tr w:rsidR="00D235DB" w:rsidRPr="00873EAF" w14:paraId="2E0211F4" w14:textId="77777777" w:rsidTr="00592914">
        <w:trPr>
          <w:trHeight w:val="165"/>
        </w:trPr>
        <w:tc>
          <w:tcPr>
            <w:tcW w:w="3402" w:type="dxa"/>
            <w:tcBorders>
              <w:top w:val="single" w:sz="8" w:space="0" w:color="auto"/>
              <w:left w:val="single" w:sz="8" w:space="0" w:color="auto"/>
              <w:bottom w:val="single" w:sz="8" w:space="0" w:color="auto"/>
              <w:right w:val="single" w:sz="4" w:space="0" w:color="auto"/>
            </w:tcBorders>
            <w:shd w:val="clear" w:color="auto" w:fill="auto"/>
            <w:vAlign w:val="center"/>
          </w:tcPr>
          <w:p w14:paraId="030818BD" w14:textId="77777777" w:rsidR="00BE38D6" w:rsidRPr="00873EAF" w:rsidRDefault="00BE38D6" w:rsidP="00A63696">
            <w:pPr>
              <w:spacing w:before="0" w:line="240" w:lineRule="auto"/>
              <w:jc w:val="both"/>
              <w:rPr>
                <w:rFonts w:ascii="Renault Group" w:eastAsia="Times New Roman" w:hAnsi="Renault Group" w:cs="Calibri"/>
                <w:b/>
                <w:bCs/>
                <w:color w:val="000000"/>
                <w:szCs w:val="18"/>
                <w:lang w:eastAsia="fr-FR"/>
              </w:rPr>
            </w:pPr>
            <w:r w:rsidRPr="00873EAF">
              <w:rPr>
                <w:b/>
                <w:bCs/>
                <w:color w:val="000000"/>
                <w:szCs w:val="18"/>
                <w:lang w:val="en" w:eastAsia="fr-FR"/>
              </w:rPr>
              <w:t xml:space="preserve">Current and deferred taxes </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0734D538"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-596</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10E48A81"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-571</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14:paraId="2AA24371"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+25</w:t>
            </w:r>
          </w:p>
        </w:tc>
      </w:tr>
      <w:tr w:rsidR="00D235DB" w:rsidRPr="00873EAF" w14:paraId="2A5A8CA0" w14:textId="77777777" w:rsidTr="00592914">
        <w:trPr>
          <w:trHeight w:val="385"/>
        </w:trPr>
        <w:tc>
          <w:tcPr>
            <w:tcW w:w="3402" w:type="dxa"/>
            <w:tcBorders>
              <w:top w:val="single" w:sz="8" w:space="0" w:color="auto"/>
              <w:left w:val="single" w:sz="8" w:space="0" w:color="auto"/>
              <w:right w:val="single" w:sz="4" w:space="0" w:color="auto"/>
            </w:tcBorders>
            <w:shd w:val="clear" w:color="auto" w:fill="auto"/>
            <w:vAlign w:val="center"/>
          </w:tcPr>
          <w:p w14:paraId="2077978F" w14:textId="77777777" w:rsidR="00BE38D6" w:rsidRPr="00873EAF" w:rsidRDefault="00BE38D6" w:rsidP="00A63696">
            <w:pPr>
              <w:spacing w:before="0" w:line="240" w:lineRule="auto"/>
              <w:jc w:val="both"/>
              <w:rPr>
                <w:rFonts w:ascii="Renault Group" w:eastAsia="Times New Roman" w:hAnsi="Renault Group" w:cs="Calibri"/>
                <w:b/>
                <w:bCs/>
                <w:color w:val="000000"/>
                <w:szCs w:val="18"/>
                <w:lang w:eastAsia="fr-FR"/>
              </w:rPr>
            </w:pPr>
            <w:r w:rsidRPr="00873EAF">
              <w:rPr>
                <w:b/>
                <w:bCs/>
                <w:color w:val="000000"/>
                <w:szCs w:val="18"/>
                <w:lang w:val="en" w:eastAsia="fr-FR"/>
              </w:rPr>
              <w:t xml:space="preserve">Net income </w:t>
            </w:r>
          </w:p>
        </w:tc>
        <w:tc>
          <w:tcPr>
            <w:tcW w:w="1417" w:type="dxa"/>
            <w:tcBorders>
              <w:top w:val="single" w:sz="8" w:space="0" w:color="auto"/>
              <w:left w:val="single" w:sz="4" w:space="0" w:color="auto"/>
              <w:right w:val="single" w:sz="4" w:space="0" w:color="auto"/>
            </w:tcBorders>
            <w:shd w:val="clear" w:color="auto" w:fill="auto"/>
            <w:vAlign w:val="center"/>
          </w:tcPr>
          <w:p w14:paraId="7B6A4E8E"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967</w:t>
            </w:r>
          </w:p>
        </w:tc>
        <w:tc>
          <w:tcPr>
            <w:tcW w:w="1417" w:type="dxa"/>
            <w:tcBorders>
              <w:top w:val="single" w:sz="8" w:space="0" w:color="auto"/>
              <w:left w:val="single" w:sz="4" w:space="0" w:color="auto"/>
              <w:right w:val="single" w:sz="4" w:space="0" w:color="auto"/>
            </w:tcBorders>
            <w:shd w:val="clear" w:color="auto" w:fill="auto"/>
            <w:vAlign w:val="center"/>
          </w:tcPr>
          <w:p w14:paraId="3854A8A7"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967</w:t>
            </w:r>
          </w:p>
        </w:tc>
        <w:tc>
          <w:tcPr>
            <w:tcW w:w="1417" w:type="dxa"/>
            <w:tcBorders>
              <w:top w:val="single" w:sz="8" w:space="0" w:color="auto"/>
              <w:left w:val="single" w:sz="4" w:space="0" w:color="auto"/>
              <w:right w:val="single" w:sz="8" w:space="0" w:color="auto"/>
            </w:tcBorders>
            <w:shd w:val="clear" w:color="auto" w:fill="auto"/>
            <w:vAlign w:val="center"/>
          </w:tcPr>
          <w:p w14:paraId="22D6ED4E"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rFonts w:ascii="Renault Group" w:eastAsia="Times New Roman" w:hAnsi="Renault Group" w:cs="Calibri"/>
                <w:b/>
                <w:bCs/>
                <w:szCs w:val="18"/>
                <w:lang w:eastAsia="fr-FR"/>
              </w:rPr>
              <w:t>-</w:t>
            </w:r>
          </w:p>
        </w:tc>
      </w:tr>
      <w:tr w:rsidR="00D235DB" w:rsidRPr="00873EAF" w14:paraId="19C501F3" w14:textId="77777777" w:rsidTr="00592914">
        <w:trPr>
          <w:trHeight w:val="298"/>
        </w:trPr>
        <w:tc>
          <w:tcPr>
            <w:tcW w:w="3402" w:type="dxa"/>
            <w:tcBorders>
              <w:left w:val="single" w:sz="8" w:space="0" w:color="auto"/>
              <w:right w:val="single" w:sz="4" w:space="0" w:color="auto"/>
            </w:tcBorders>
            <w:shd w:val="clear" w:color="auto" w:fill="auto"/>
            <w:vAlign w:val="center"/>
          </w:tcPr>
          <w:p w14:paraId="6ED18DF2" w14:textId="77777777" w:rsidR="00BE38D6" w:rsidRPr="00873EAF" w:rsidRDefault="00BE38D6" w:rsidP="00A63696">
            <w:pPr>
              <w:spacing w:before="0" w:line="240" w:lineRule="auto"/>
              <w:jc w:val="both"/>
              <w:rPr>
                <w:rFonts w:ascii="Renault Group" w:eastAsia="Times New Roman" w:hAnsi="Renault Group" w:cs="Calibri"/>
                <w:b/>
                <w:bCs/>
                <w:color w:val="000000"/>
                <w:sz w:val="16"/>
                <w:szCs w:val="16"/>
                <w:lang w:eastAsia="fr-FR"/>
              </w:rPr>
            </w:pPr>
            <w:r w:rsidRPr="00873EAF">
              <w:rPr>
                <w:b/>
                <w:bCs/>
                <w:color w:val="000000"/>
                <w:sz w:val="16"/>
                <w:szCs w:val="16"/>
                <w:lang w:val="en" w:eastAsia="fr-FR"/>
              </w:rPr>
              <w:t xml:space="preserve">             of which continuing operations </w:t>
            </w:r>
          </w:p>
        </w:tc>
        <w:tc>
          <w:tcPr>
            <w:tcW w:w="1417" w:type="dxa"/>
            <w:tcBorders>
              <w:left w:val="single" w:sz="4" w:space="0" w:color="auto"/>
              <w:right w:val="single" w:sz="4" w:space="0" w:color="auto"/>
            </w:tcBorders>
            <w:shd w:val="clear" w:color="auto" w:fill="auto"/>
            <w:vAlign w:val="center"/>
          </w:tcPr>
          <w:p w14:paraId="587646B2"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967</w:t>
            </w:r>
          </w:p>
        </w:tc>
        <w:tc>
          <w:tcPr>
            <w:tcW w:w="1417" w:type="dxa"/>
            <w:tcBorders>
              <w:left w:val="single" w:sz="4" w:space="0" w:color="auto"/>
              <w:right w:val="single" w:sz="4" w:space="0" w:color="auto"/>
            </w:tcBorders>
            <w:shd w:val="clear" w:color="auto" w:fill="auto"/>
            <w:vAlign w:val="center"/>
          </w:tcPr>
          <w:p w14:paraId="4C83030A"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549</w:t>
            </w:r>
          </w:p>
        </w:tc>
        <w:tc>
          <w:tcPr>
            <w:tcW w:w="1417" w:type="dxa"/>
            <w:tcBorders>
              <w:left w:val="single" w:sz="4" w:space="0" w:color="auto"/>
              <w:right w:val="single" w:sz="8" w:space="0" w:color="auto"/>
            </w:tcBorders>
            <w:shd w:val="clear" w:color="auto" w:fill="auto"/>
            <w:vAlign w:val="center"/>
          </w:tcPr>
          <w:p w14:paraId="59187172"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-418</w:t>
            </w:r>
          </w:p>
        </w:tc>
      </w:tr>
      <w:tr w:rsidR="00D235DB" w:rsidRPr="00873EAF" w14:paraId="24F179F1" w14:textId="77777777" w:rsidTr="00592914">
        <w:trPr>
          <w:trHeight w:val="243"/>
        </w:trPr>
        <w:tc>
          <w:tcPr>
            <w:tcW w:w="3402" w:type="dxa"/>
            <w:tcBorders>
              <w:left w:val="single" w:sz="8" w:space="0" w:color="auto"/>
              <w:bottom w:val="single" w:sz="8" w:space="0" w:color="auto"/>
              <w:right w:val="single" w:sz="4" w:space="0" w:color="auto"/>
            </w:tcBorders>
            <w:shd w:val="clear" w:color="auto" w:fill="auto"/>
            <w:vAlign w:val="center"/>
          </w:tcPr>
          <w:p w14:paraId="35E89175" w14:textId="77777777" w:rsidR="00BE38D6" w:rsidRPr="00873EAF" w:rsidRDefault="00BE38D6" w:rsidP="00A63696">
            <w:pPr>
              <w:spacing w:before="0" w:line="240" w:lineRule="auto"/>
              <w:jc w:val="both"/>
              <w:rPr>
                <w:rFonts w:ascii="Renault Group" w:eastAsia="Times New Roman" w:hAnsi="Renault Group" w:cs="Calibri"/>
                <w:b/>
                <w:bCs/>
                <w:color w:val="000000"/>
                <w:sz w:val="16"/>
                <w:szCs w:val="16"/>
                <w:lang w:eastAsia="fr-FR"/>
              </w:rPr>
            </w:pPr>
            <w:r w:rsidRPr="00873EAF">
              <w:rPr>
                <w:b/>
                <w:bCs/>
                <w:color w:val="000000"/>
                <w:sz w:val="16"/>
                <w:szCs w:val="16"/>
                <w:lang w:val="en" w:eastAsia="fr-FR"/>
              </w:rPr>
              <w:t xml:space="preserve">             of which </w:t>
            </w:r>
            <w:r>
              <w:rPr>
                <w:b/>
                <w:bCs/>
                <w:color w:val="000000"/>
                <w:sz w:val="16"/>
                <w:szCs w:val="16"/>
                <w:lang w:val="en" w:eastAsia="fr-FR"/>
              </w:rPr>
              <w:t>discontinued operations</w:t>
            </w:r>
          </w:p>
        </w:tc>
        <w:tc>
          <w:tcPr>
            <w:tcW w:w="1417" w:type="dxa"/>
            <w:tcBorders>
              <w:left w:val="single" w:sz="4" w:space="0" w:color="auto"/>
              <w:bottom w:val="single" w:sz="8" w:space="0" w:color="auto"/>
              <w:right w:val="single" w:sz="4" w:space="0" w:color="auto"/>
            </w:tcBorders>
            <w:shd w:val="clear" w:color="auto" w:fill="auto"/>
            <w:vAlign w:val="center"/>
          </w:tcPr>
          <w:p w14:paraId="55831612"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sidRPr="00873EAF">
              <w:rPr>
                <w:rFonts w:ascii="Renault Group" w:eastAsia="Times New Roman" w:hAnsi="Renault Group" w:cs="Calibri"/>
                <w:b/>
                <w:bCs/>
                <w:color w:val="000000"/>
                <w:szCs w:val="18"/>
                <w:lang w:eastAsia="fr-FR"/>
              </w:rPr>
              <w:t> </w:t>
            </w:r>
          </w:p>
        </w:tc>
        <w:tc>
          <w:tcPr>
            <w:tcW w:w="1417" w:type="dxa"/>
            <w:tcBorders>
              <w:left w:val="single" w:sz="4" w:space="0" w:color="auto"/>
              <w:bottom w:val="single" w:sz="8" w:space="0" w:color="auto"/>
              <w:right w:val="single" w:sz="4" w:space="0" w:color="auto"/>
            </w:tcBorders>
            <w:shd w:val="clear" w:color="auto" w:fill="auto"/>
            <w:vAlign w:val="center"/>
          </w:tcPr>
          <w:p w14:paraId="20F28656"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418</w:t>
            </w:r>
          </w:p>
        </w:tc>
        <w:tc>
          <w:tcPr>
            <w:tcW w:w="1417" w:type="dxa"/>
            <w:tcBorders>
              <w:left w:val="single" w:sz="4" w:space="0" w:color="auto"/>
              <w:bottom w:val="single" w:sz="8" w:space="0" w:color="auto"/>
              <w:right w:val="single" w:sz="8" w:space="0" w:color="auto"/>
            </w:tcBorders>
            <w:shd w:val="clear" w:color="auto" w:fill="auto"/>
            <w:vAlign w:val="center"/>
          </w:tcPr>
          <w:p w14:paraId="131843E6"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+418</w:t>
            </w:r>
          </w:p>
        </w:tc>
      </w:tr>
      <w:tr w:rsidR="00D235DB" w:rsidRPr="00873EAF" w14:paraId="553B594B" w14:textId="77777777" w:rsidTr="00592914">
        <w:trPr>
          <w:trHeight w:val="243"/>
        </w:trPr>
        <w:tc>
          <w:tcPr>
            <w:tcW w:w="3402" w:type="dxa"/>
            <w:tcBorders>
              <w:left w:val="single" w:sz="8" w:space="0" w:color="auto"/>
              <w:bottom w:val="single" w:sz="8" w:space="0" w:color="auto"/>
              <w:right w:val="single" w:sz="4" w:space="0" w:color="auto"/>
            </w:tcBorders>
            <w:shd w:val="clear" w:color="auto" w:fill="auto"/>
            <w:vAlign w:val="center"/>
          </w:tcPr>
          <w:p w14:paraId="5EDFCC8B" w14:textId="77777777" w:rsidR="00BE38D6" w:rsidRPr="00BF3D95" w:rsidRDefault="00BE38D6" w:rsidP="00A63696">
            <w:pPr>
              <w:spacing w:before="0" w:line="240" w:lineRule="auto"/>
              <w:jc w:val="both"/>
              <w:rPr>
                <w:rFonts w:ascii="Renault Group" w:eastAsia="Times New Roman" w:hAnsi="Renault Group" w:cs="Calibri"/>
                <w:b/>
                <w:bCs/>
                <w:color w:val="000000"/>
                <w:sz w:val="16"/>
                <w:szCs w:val="16"/>
                <w:lang w:val="en-US" w:eastAsia="fr-FR"/>
              </w:rPr>
            </w:pPr>
            <w:r w:rsidRPr="004D42C5">
              <w:rPr>
                <w:b/>
                <w:bCs/>
                <w:szCs w:val="18"/>
                <w:lang w:val="en"/>
              </w:rPr>
              <w:t xml:space="preserve">Automotive </w:t>
            </w:r>
            <w:r>
              <w:rPr>
                <w:b/>
                <w:bCs/>
                <w:szCs w:val="18"/>
                <w:lang w:val="en"/>
              </w:rPr>
              <w:t>o</w:t>
            </w:r>
            <w:r w:rsidRPr="00D26088">
              <w:rPr>
                <w:b/>
                <w:bCs/>
                <w:szCs w:val="18"/>
                <w:lang w:val="en"/>
              </w:rPr>
              <w:t>perati</w:t>
            </w:r>
            <w:r>
              <w:rPr>
                <w:b/>
                <w:bCs/>
                <w:szCs w:val="18"/>
                <w:lang w:val="en"/>
              </w:rPr>
              <w:t>onal</w:t>
            </w:r>
            <w:r w:rsidRPr="00D26088">
              <w:rPr>
                <w:b/>
                <w:bCs/>
                <w:lang w:val="en"/>
              </w:rPr>
              <w:t xml:space="preserve"> </w:t>
            </w:r>
            <w:r>
              <w:rPr>
                <w:b/>
                <w:bCs/>
                <w:lang w:val="en"/>
              </w:rPr>
              <w:t>f</w:t>
            </w:r>
            <w:r w:rsidRPr="00D26088">
              <w:rPr>
                <w:b/>
                <w:bCs/>
                <w:lang w:val="en"/>
              </w:rPr>
              <w:t xml:space="preserve">ree </w:t>
            </w:r>
            <w:r>
              <w:rPr>
                <w:b/>
                <w:bCs/>
                <w:lang w:val="en"/>
              </w:rPr>
              <w:t>c</w:t>
            </w:r>
            <w:r w:rsidRPr="00D26088">
              <w:rPr>
                <w:b/>
                <w:bCs/>
                <w:lang w:val="en"/>
              </w:rPr>
              <w:t>ash</w:t>
            </w:r>
            <w:r>
              <w:rPr>
                <w:b/>
                <w:bCs/>
                <w:lang w:val="en"/>
              </w:rPr>
              <w:t xml:space="preserve"> f</w:t>
            </w:r>
            <w:r w:rsidRPr="00D26088">
              <w:rPr>
                <w:b/>
                <w:bCs/>
                <w:lang w:val="en"/>
              </w:rPr>
              <w:t>low</w:t>
            </w:r>
          </w:p>
        </w:tc>
        <w:tc>
          <w:tcPr>
            <w:tcW w:w="1417" w:type="dxa"/>
            <w:tcBorders>
              <w:left w:val="single" w:sz="4" w:space="0" w:color="auto"/>
              <w:bottom w:val="single" w:sz="8" w:space="0" w:color="auto"/>
              <w:right w:val="single" w:sz="4" w:space="0" w:color="auto"/>
            </w:tcBorders>
            <w:shd w:val="clear" w:color="auto" w:fill="auto"/>
            <w:vAlign w:val="center"/>
          </w:tcPr>
          <w:p w14:paraId="4ABAFC84" w14:textId="77777777" w:rsidR="00BE38D6" w:rsidRPr="00873EAF" w:rsidRDefault="00BE38D6" w:rsidP="00A63696">
            <w:pPr>
              <w:spacing w:before="0" w:line="240" w:lineRule="auto"/>
              <w:jc w:val="center"/>
              <w:rPr>
                <w:rFonts w:ascii="Renault Group" w:eastAsia="Times New Roman" w:hAnsi="Renault Group" w:cs="Calibri"/>
                <w:b/>
                <w:bCs/>
                <w:color w:val="000000"/>
                <w:szCs w:val="18"/>
                <w:lang w:eastAsia="fr-FR"/>
              </w:rPr>
            </w:pPr>
            <w:r>
              <w:rPr>
                <w:rFonts w:ascii="Renault Group" w:eastAsia="Times New Roman" w:hAnsi="Renault Group" w:cs="Calibri"/>
                <w:b/>
                <w:bCs/>
                <w:color w:val="000000"/>
                <w:szCs w:val="18"/>
                <w:lang w:eastAsia="fr-FR"/>
              </w:rPr>
              <w:t>1,272</w:t>
            </w:r>
          </w:p>
        </w:tc>
        <w:tc>
          <w:tcPr>
            <w:tcW w:w="1417" w:type="dxa"/>
            <w:tcBorders>
              <w:left w:val="single" w:sz="4" w:space="0" w:color="auto"/>
              <w:bottom w:val="single" w:sz="8" w:space="0" w:color="auto"/>
              <w:right w:val="single" w:sz="4" w:space="0" w:color="auto"/>
            </w:tcBorders>
            <w:shd w:val="clear" w:color="auto" w:fill="auto"/>
            <w:vAlign w:val="center"/>
          </w:tcPr>
          <w:p w14:paraId="02762A59"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rFonts w:ascii="Renault Group" w:eastAsia="Times New Roman" w:hAnsi="Renault Group" w:cs="Calibri"/>
                <w:b/>
                <w:bCs/>
                <w:szCs w:val="18"/>
                <w:lang w:eastAsia="fr-FR"/>
              </w:rPr>
              <w:t>889</w:t>
            </w:r>
          </w:p>
        </w:tc>
        <w:tc>
          <w:tcPr>
            <w:tcW w:w="1417" w:type="dxa"/>
            <w:tcBorders>
              <w:left w:val="single" w:sz="4" w:space="0" w:color="auto"/>
              <w:bottom w:val="single" w:sz="8" w:space="0" w:color="auto"/>
              <w:right w:val="single" w:sz="8" w:space="0" w:color="auto"/>
            </w:tcBorders>
            <w:shd w:val="clear" w:color="auto" w:fill="auto"/>
            <w:vAlign w:val="center"/>
          </w:tcPr>
          <w:p w14:paraId="0A435C5F" w14:textId="77777777" w:rsidR="00BE38D6" w:rsidRPr="00F11FD6" w:rsidRDefault="00BE38D6" w:rsidP="00A63696">
            <w:pPr>
              <w:spacing w:before="0" w:line="240" w:lineRule="auto"/>
              <w:jc w:val="center"/>
              <w:rPr>
                <w:rFonts w:ascii="Renault Group" w:eastAsia="Times New Roman" w:hAnsi="Renault Group" w:cs="Calibri"/>
                <w:b/>
                <w:bCs/>
                <w:szCs w:val="18"/>
                <w:lang w:eastAsia="fr-FR"/>
              </w:rPr>
            </w:pPr>
            <w:r w:rsidRPr="00F11FD6">
              <w:rPr>
                <w:rFonts w:ascii="Renault Group" w:eastAsia="Times New Roman" w:hAnsi="Renault Group" w:cs="Calibri"/>
                <w:b/>
                <w:bCs/>
                <w:szCs w:val="18"/>
                <w:lang w:eastAsia="fr-FR"/>
              </w:rPr>
              <w:t>-383</w:t>
            </w:r>
          </w:p>
        </w:tc>
      </w:tr>
      <w:tr w:rsidR="00D235DB" w:rsidRPr="00873EAF" w14:paraId="6B246788" w14:textId="77777777" w:rsidTr="00954222">
        <w:trPr>
          <w:trHeight w:val="312"/>
        </w:trPr>
        <w:tc>
          <w:tcPr>
            <w:tcW w:w="3402" w:type="dxa"/>
            <w:vMerge w:val="restart"/>
            <w:tcBorders>
              <w:top w:val="single" w:sz="8" w:space="0" w:color="auto"/>
              <w:left w:val="single" w:sz="8" w:space="0" w:color="auto"/>
              <w:right w:val="single" w:sz="4" w:space="0" w:color="auto"/>
            </w:tcBorders>
            <w:shd w:val="clear" w:color="auto" w:fill="auto"/>
            <w:vAlign w:val="center"/>
          </w:tcPr>
          <w:p w14:paraId="60DD663B" w14:textId="77777777" w:rsidR="00D235DB" w:rsidRPr="00873EAF" w:rsidRDefault="00D235DB" w:rsidP="00D2391D">
            <w:pPr>
              <w:spacing w:before="0" w:line="240" w:lineRule="auto"/>
              <w:rPr>
                <w:rFonts w:ascii="Renault Group" w:eastAsia="Times New Roman" w:hAnsi="Renault Group" w:cs="Calibri"/>
                <w:b/>
                <w:bCs/>
                <w:color w:val="000000"/>
                <w:szCs w:val="18"/>
                <w:lang w:eastAsia="fr-FR"/>
              </w:rPr>
            </w:pPr>
            <w:r w:rsidRPr="00873EAF">
              <w:rPr>
                <w:b/>
                <w:bCs/>
                <w:color w:val="000000"/>
                <w:szCs w:val="18"/>
                <w:lang w:val="en" w:eastAsia="fr-FR"/>
              </w:rPr>
              <w:t xml:space="preserve">Automotive Net Debt </w:t>
            </w:r>
          </w:p>
        </w:tc>
        <w:tc>
          <w:tcPr>
            <w:tcW w:w="1417" w:type="dxa"/>
            <w:tcBorders>
              <w:top w:val="single" w:sz="8" w:space="0" w:color="auto"/>
              <w:left w:val="single" w:sz="4" w:space="0" w:color="auto"/>
              <w:right w:val="single" w:sz="4" w:space="0" w:color="auto"/>
            </w:tcBorders>
            <w:shd w:val="clear" w:color="auto" w:fill="auto"/>
            <w:vAlign w:val="center"/>
          </w:tcPr>
          <w:p w14:paraId="12440EE2" w14:textId="77777777" w:rsidR="00D235DB" w:rsidRPr="00873EAF" w:rsidRDefault="00D235DB" w:rsidP="00A63696">
            <w:pPr>
              <w:spacing w:before="0" w:line="240" w:lineRule="auto"/>
              <w:jc w:val="center"/>
              <w:rPr>
                <w:rFonts w:ascii="Renault Group" w:eastAsia="Times New Roman" w:hAnsi="Renault Group" w:cs="Calibri"/>
                <w:b/>
                <w:bCs/>
                <w:color w:val="000000"/>
                <w:szCs w:val="18"/>
                <w:lang w:eastAsia="fr-FR"/>
              </w:rPr>
            </w:pPr>
            <w:r w:rsidRPr="00873EAF">
              <w:rPr>
                <w:b/>
                <w:bCs/>
                <w:color w:val="000000"/>
                <w:szCs w:val="18"/>
                <w:lang w:val="en" w:eastAsia="fr-FR"/>
              </w:rPr>
              <w:t>-1</w:t>
            </w:r>
            <w:r>
              <w:rPr>
                <w:b/>
                <w:bCs/>
                <w:color w:val="000000"/>
                <w:szCs w:val="18"/>
                <w:lang w:val="en" w:eastAsia="fr-FR"/>
              </w:rPr>
              <w:t>,</w:t>
            </w:r>
            <w:r w:rsidRPr="00873EAF">
              <w:rPr>
                <w:b/>
                <w:bCs/>
                <w:color w:val="000000"/>
                <w:szCs w:val="18"/>
                <w:lang w:val="en" w:eastAsia="fr-FR"/>
              </w:rPr>
              <w:t>622</w:t>
            </w:r>
          </w:p>
        </w:tc>
        <w:tc>
          <w:tcPr>
            <w:tcW w:w="1417" w:type="dxa"/>
            <w:tcBorders>
              <w:top w:val="single" w:sz="8" w:space="0" w:color="auto"/>
              <w:left w:val="single" w:sz="4" w:space="0" w:color="auto"/>
              <w:right w:val="single" w:sz="4" w:space="0" w:color="auto"/>
            </w:tcBorders>
            <w:shd w:val="clear" w:color="auto" w:fill="auto"/>
            <w:vAlign w:val="center"/>
          </w:tcPr>
          <w:p w14:paraId="57FBB18B" w14:textId="77777777" w:rsidR="00D235DB" w:rsidRPr="00F11FD6" w:rsidRDefault="00D235DB"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-1,100</w:t>
            </w:r>
          </w:p>
        </w:tc>
        <w:tc>
          <w:tcPr>
            <w:tcW w:w="1417" w:type="dxa"/>
            <w:tcBorders>
              <w:top w:val="single" w:sz="8" w:space="0" w:color="auto"/>
              <w:left w:val="single" w:sz="4" w:space="0" w:color="auto"/>
              <w:right w:val="single" w:sz="8" w:space="0" w:color="auto"/>
            </w:tcBorders>
            <w:shd w:val="clear" w:color="auto" w:fill="auto"/>
            <w:vAlign w:val="center"/>
          </w:tcPr>
          <w:p w14:paraId="6DD6F93C" w14:textId="77777777" w:rsidR="00D235DB" w:rsidRPr="00F11FD6" w:rsidRDefault="00D235DB" w:rsidP="00A63696">
            <w:pPr>
              <w:spacing w:before="0" w:line="240" w:lineRule="auto"/>
              <w:jc w:val="center"/>
              <w:rPr>
                <w:rFonts w:ascii="Renault Group" w:eastAsia="Times New Roman" w:hAnsi="Renault Group" w:cs="Calibri"/>
                <w:b/>
                <w:bCs/>
                <w:szCs w:val="18"/>
                <w:lang w:eastAsia="fr-FR"/>
              </w:rPr>
            </w:pPr>
            <w:r w:rsidRPr="00F11FD6">
              <w:rPr>
                <w:b/>
                <w:bCs/>
                <w:szCs w:val="18"/>
                <w:lang w:val="en" w:eastAsia="fr-FR"/>
              </w:rPr>
              <w:t>+522</w:t>
            </w:r>
          </w:p>
        </w:tc>
      </w:tr>
      <w:tr w:rsidR="00D235DB" w:rsidRPr="00873EAF" w14:paraId="56141D43" w14:textId="77777777" w:rsidTr="00954222">
        <w:trPr>
          <w:trHeight w:val="137"/>
        </w:trPr>
        <w:tc>
          <w:tcPr>
            <w:tcW w:w="3402" w:type="dxa"/>
            <w:vMerge/>
            <w:tcBorders>
              <w:left w:val="single" w:sz="8" w:space="0" w:color="auto"/>
              <w:bottom w:val="single" w:sz="8" w:space="0" w:color="auto"/>
              <w:right w:val="single" w:sz="4" w:space="0" w:color="auto"/>
            </w:tcBorders>
            <w:vAlign w:val="center"/>
          </w:tcPr>
          <w:p w14:paraId="6EA4CC9B" w14:textId="77777777" w:rsidR="00D235DB" w:rsidRPr="00873EAF" w:rsidRDefault="00D235DB" w:rsidP="00A63696">
            <w:pPr>
              <w:spacing w:before="0" w:line="240" w:lineRule="auto"/>
              <w:rPr>
                <w:rFonts w:ascii="Renault Group" w:eastAsia="Times New Roman" w:hAnsi="Renault Group" w:cs="Calibri"/>
                <w:b/>
                <w:bCs/>
                <w:color w:val="000000"/>
                <w:szCs w:val="18"/>
                <w:lang w:eastAsia="fr-FR"/>
              </w:rPr>
            </w:pPr>
          </w:p>
        </w:tc>
        <w:tc>
          <w:tcPr>
            <w:tcW w:w="1417" w:type="dxa"/>
            <w:tcBorders>
              <w:left w:val="single" w:sz="4" w:space="0" w:color="auto"/>
              <w:bottom w:val="single" w:sz="8" w:space="0" w:color="auto"/>
              <w:right w:val="single" w:sz="4" w:space="0" w:color="auto"/>
            </w:tcBorders>
            <w:shd w:val="clear" w:color="auto" w:fill="auto"/>
            <w:vAlign w:val="center"/>
          </w:tcPr>
          <w:p w14:paraId="3644D827" w14:textId="77777777" w:rsidR="00D235DB" w:rsidRPr="00873EAF" w:rsidRDefault="00D235DB" w:rsidP="00A63696">
            <w:pPr>
              <w:spacing w:before="0" w:line="240" w:lineRule="auto"/>
              <w:jc w:val="center"/>
              <w:rPr>
                <w:rFonts w:ascii="Renault Group" w:eastAsia="Times New Roman" w:hAnsi="Renault Group" w:cs="Calibri"/>
                <w:b/>
                <w:bCs/>
                <w:color w:val="000000"/>
                <w:szCs w:val="18"/>
                <w:lang w:eastAsia="fr-FR"/>
              </w:rPr>
            </w:pPr>
            <w:r w:rsidRPr="006C360F">
              <w:rPr>
                <w:b/>
                <w:bCs/>
                <w:color w:val="000000"/>
                <w:sz w:val="16"/>
                <w:szCs w:val="16"/>
                <w:lang w:val="en" w:eastAsia="fr-FR"/>
              </w:rPr>
              <w:t xml:space="preserve">at 2021-12-31 </w:t>
            </w:r>
          </w:p>
        </w:tc>
        <w:tc>
          <w:tcPr>
            <w:tcW w:w="1417" w:type="dxa"/>
            <w:tcBorders>
              <w:left w:val="single" w:sz="4" w:space="0" w:color="auto"/>
              <w:bottom w:val="single" w:sz="8" w:space="0" w:color="auto"/>
              <w:right w:val="single" w:sz="4" w:space="0" w:color="auto"/>
            </w:tcBorders>
            <w:shd w:val="clear" w:color="auto" w:fill="auto"/>
            <w:vAlign w:val="center"/>
          </w:tcPr>
          <w:p w14:paraId="0A251900" w14:textId="77777777" w:rsidR="00D235DB" w:rsidRPr="00F11FD6" w:rsidRDefault="00D235DB" w:rsidP="00A63696">
            <w:pPr>
              <w:spacing w:before="0" w:line="240" w:lineRule="auto"/>
              <w:jc w:val="center"/>
              <w:rPr>
                <w:rFonts w:ascii="Renault Group" w:eastAsia="Times New Roman" w:hAnsi="Renault Group" w:cs="Calibri"/>
                <w:b/>
                <w:bCs/>
                <w:szCs w:val="18"/>
                <w:lang w:eastAsia="fr-FR"/>
              </w:rPr>
            </w:pPr>
            <w:r w:rsidRPr="00F11FD6">
              <w:rPr>
                <w:b/>
                <w:bCs/>
                <w:sz w:val="16"/>
                <w:szCs w:val="16"/>
                <w:lang w:val="en" w:eastAsia="fr-FR"/>
              </w:rPr>
              <w:t>at 2021-12-31</w:t>
            </w:r>
          </w:p>
        </w:tc>
        <w:tc>
          <w:tcPr>
            <w:tcW w:w="1417" w:type="dxa"/>
            <w:tcBorders>
              <w:left w:val="single" w:sz="4" w:space="0" w:color="auto"/>
              <w:bottom w:val="single" w:sz="8" w:space="0" w:color="auto"/>
              <w:right w:val="single" w:sz="8" w:space="0" w:color="auto"/>
            </w:tcBorders>
            <w:shd w:val="clear" w:color="auto" w:fill="auto"/>
            <w:vAlign w:val="center"/>
          </w:tcPr>
          <w:p w14:paraId="4C3CDDC1" w14:textId="6370F133" w:rsidR="00D235DB" w:rsidRPr="00F11FD6" w:rsidRDefault="00D235DB" w:rsidP="00A63696">
            <w:pPr>
              <w:spacing w:before="0" w:line="240" w:lineRule="auto"/>
              <w:jc w:val="center"/>
              <w:rPr>
                <w:rFonts w:ascii="Renault Group" w:eastAsia="Times New Roman" w:hAnsi="Renault Group" w:cs="Calibri"/>
                <w:b/>
                <w:bCs/>
                <w:szCs w:val="18"/>
                <w:lang w:eastAsia="fr-FR"/>
              </w:rPr>
            </w:pPr>
          </w:p>
        </w:tc>
      </w:tr>
    </w:tbl>
    <w:p w14:paraId="70B78935" w14:textId="10635E0C" w:rsidR="00491F6C" w:rsidRPr="003858B9" w:rsidRDefault="00491F6C" w:rsidP="00491F6C">
      <w:pPr>
        <w:keepNext/>
        <w:spacing w:before="360" w:after="120" w:line="240" w:lineRule="auto"/>
        <w:jc w:val="both"/>
        <w:outlineLvl w:val="0"/>
        <w:rPr>
          <w:rFonts w:ascii="Renault Group" w:eastAsia="Renault Group" w:hAnsi="Renault Group" w:cs="Times New Roman"/>
          <w:color w:val="988C7F"/>
          <w:sz w:val="32"/>
          <w:szCs w:val="32"/>
        </w:rPr>
      </w:pPr>
      <w:r w:rsidRPr="003858B9">
        <w:rPr>
          <w:rFonts w:ascii="Renault Group" w:eastAsia="Renault Group" w:hAnsi="Renault Group" w:cs="Times New Roman"/>
          <w:color w:val="988C7F"/>
          <w:sz w:val="32"/>
          <w:szCs w:val="32"/>
          <w:lang w:val="en"/>
        </w:rPr>
        <w:t>Additional information</w:t>
      </w:r>
    </w:p>
    <w:p w14:paraId="70E632A5" w14:textId="0CAD2ABC" w:rsidR="009966FC" w:rsidRDefault="009966FC" w:rsidP="007A6061">
      <w:pPr>
        <w:spacing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The consolidated financial statements of Renault</w:t>
      </w:r>
      <w:r>
        <w:rPr>
          <w:rFonts w:ascii="Renault Group" w:eastAsia="Renault Group" w:hAnsi="Renault Group" w:cs="Times New Roman"/>
          <w:sz w:val="22"/>
          <w:szCs w:val="22"/>
          <w:lang w:val="en"/>
        </w:rPr>
        <w:t xml:space="preserve"> Group</w:t>
      </w:r>
      <w:r w:rsidRPr="003858B9">
        <w:rPr>
          <w:rFonts w:ascii="Renault Group" w:eastAsia="Renault Group" w:hAnsi="Renault Group" w:cs="Times New Roman"/>
          <w:sz w:val="22"/>
          <w:szCs w:val="22"/>
          <w:lang w:val="en"/>
        </w:rPr>
        <w:t xml:space="preserve"> and the company accounts of </w:t>
      </w:r>
      <w:r>
        <w:rPr>
          <w:rFonts w:ascii="Renault Group" w:eastAsia="Renault Group" w:hAnsi="Renault Group" w:cs="Times New Roman"/>
          <w:sz w:val="22"/>
          <w:szCs w:val="22"/>
          <w:lang w:val="en"/>
        </w:rPr>
        <w:br/>
      </w:r>
      <w:r w:rsidRPr="003858B9">
        <w:rPr>
          <w:rFonts w:ascii="Renault Group" w:eastAsia="Renault Group" w:hAnsi="Renault Group" w:cs="Times New Roman"/>
          <w:sz w:val="22"/>
          <w:szCs w:val="22"/>
          <w:lang w:val="en"/>
        </w:rPr>
        <w:t>Renault SA at December 31, 202</w:t>
      </w:r>
      <w:r>
        <w:rPr>
          <w:rFonts w:ascii="Renault Group" w:eastAsia="Renault Group" w:hAnsi="Renault Group" w:cs="Times New Roman"/>
          <w:sz w:val="22"/>
          <w:szCs w:val="22"/>
          <w:lang w:val="en"/>
        </w:rPr>
        <w:t>2</w:t>
      </w:r>
      <w:r w:rsidRPr="003858B9">
        <w:rPr>
          <w:rFonts w:ascii="Renault Group" w:eastAsia="Renault Group" w:hAnsi="Renault Group" w:cs="Times New Roman"/>
          <w:sz w:val="22"/>
          <w:szCs w:val="22"/>
          <w:lang w:val="en"/>
        </w:rPr>
        <w:t xml:space="preserve"> were approved by the Board of Directors on February 1</w:t>
      </w:r>
      <w:r>
        <w:rPr>
          <w:rFonts w:ascii="Renault Group" w:eastAsia="Renault Group" w:hAnsi="Renault Group" w:cs="Times New Roman"/>
          <w:sz w:val="22"/>
          <w:szCs w:val="22"/>
          <w:lang w:val="en"/>
        </w:rPr>
        <w:t>5</w:t>
      </w:r>
      <w:r w:rsidRPr="003858B9">
        <w:rPr>
          <w:rFonts w:ascii="Renault Group" w:eastAsia="Renault Group" w:hAnsi="Renault Group" w:cs="Times New Roman"/>
          <w:sz w:val="22"/>
          <w:szCs w:val="22"/>
          <w:lang w:val="en"/>
        </w:rPr>
        <w:t>, 202</w:t>
      </w:r>
      <w:r>
        <w:rPr>
          <w:rFonts w:ascii="Renault Group" w:eastAsia="Renault Group" w:hAnsi="Renault Group" w:cs="Times New Roman"/>
          <w:sz w:val="22"/>
          <w:szCs w:val="22"/>
          <w:lang w:val="en"/>
        </w:rPr>
        <w:t>3</w:t>
      </w:r>
      <w:r w:rsidR="002D0535">
        <w:rPr>
          <w:rFonts w:ascii="Renault Group" w:eastAsia="Renault Group" w:hAnsi="Renault Group" w:cs="Times New Roman"/>
          <w:sz w:val="22"/>
          <w:szCs w:val="22"/>
          <w:lang w:val="en"/>
        </w:rPr>
        <w:t>.</w:t>
      </w:r>
    </w:p>
    <w:p w14:paraId="40F9A3B4" w14:textId="649CDD64" w:rsidR="00491F6C" w:rsidRPr="003858B9" w:rsidRDefault="00491F6C" w:rsidP="007A6061">
      <w:pPr>
        <w:spacing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The Group’s statutory auditors have conducted an audit of these financial statements and their report will be issued shortly.</w:t>
      </w:r>
    </w:p>
    <w:p w14:paraId="440A1458" w14:textId="5050004D" w:rsidR="00491F6C" w:rsidRDefault="00491F6C" w:rsidP="007A6061">
      <w:pPr>
        <w:spacing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The earnings report, with a complete analysis of </w:t>
      </w:r>
      <w:r w:rsidR="00D3174F">
        <w:rPr>
          <w:rFonts w:ascii="Renault Group" w:eastAsia="Renault Group" w:hAnsi="Renault Group" w:cs="Times New Roman"/>
          <w:sz w:val="22"/>
          <w:szCs w:val="22"/>
          <w:lang w:val="en"/>
        </w:rPr>
        <w:t>2022</w:t>
      </w:r>
      <w:r w:rsidRPr="003858B9">
        <w:rPr>
          <w:rFonts w:ascii="Renault Group" w:eastAsia="Renault Group" w:hAnsi="Renault Group" w:cs="Times New Roman"/>
          <w:sz w:val="22"/>
          <w:szCs w:val="22"/>
          <w:lang w:val="en"/>
        </w:rPr>
        <w:t xml:space="preserve"> financial results</w:t>
      </w:r>
      <w:r w:rsidR="00D24623">
        <w:rPr>
          <w:rFonts w:ascii="Renault Group" w:eastAsia="Renault Group" w:hAnsi="Renault Group" w:cs="Times New Roman"/>
          <w:sz w:val="22"/>
          <w:szCs w:val="22"/>
          <w:lang w:val="en"/>
        </w:rPr>
        <w:t xml:space="preserve"> including </w:t>
      </w:r>
      <w:r w:rsidR="00077C35">
        <w:rPr>
          <w:rFonts w:ascii="Renault Group" w:eastAsia="Renault Group" w:hAnsi="Renault Group" w:cs="Times New Roman"/>
          <w:sz w:val="22"/>
          <w:szCs w:val="22"/>
          <w:lang w:val="en"/>
        </w:rPr>
        <w:t>condensed</w:t>
      </w:r>
      <w:r w:rsidR="00360D15">
        <w:rPr>
          <w:rFonts w:ascii="Renault Group" w:eastAsia="Renault Group" w:hAnsi="Renault Group" w:cs="Times New Roman"/>
          <w:sz w:val="22"/>
          <w:szCs w:val="22"/>
          <w:lang w:val="en"/>
        </w:rPr>
        <w:t xml:space="preserve"> </w:t>
      </w:r>
      <w:r w:rsidR="00077C35">
        <w:rPr>
          <w:rFonts w:ascii="Renault Group" w:eastAsia="Renault Group" w:hAnsi="Renault Group" w:cs="Times New Roman"/>
          <w:sz w:val="22"/>
          <w:szCs w:val="22"/>
          <w:lang w:val="en"/>
        </w:rPr>
        <w:t>financial accounts</w:t>
      </w:r>
      <w:r w:rsidRPr="003858B9">
        <w:rPr>
          <w:rFonts w:ascii="Renault Group" w:eastAsia="Renault Group" w:hAnsi="Renault Group" w:cs="Times New Roman"/>
          <w:sz w:val="22"/>
          <w:szCs w:val="22"/>
          <w:lang w:val="en"/>
        </w:rPr>
        <w:t xml:space="preserve">, is available at </w:t>
      </w:r>
      <w:hyperlink r:id="rId11" w:history="1">
        <w:r w:rsidR="00A61229" w:rsidRPr="00592914">
          <w:rPr>
            <w:rStyle w:val="Lienhypertexte"/>
            <w:rFonts w:ascii="Renault Group" w:eastAsia="Renault Group" w:hAnsi="Renault Group" w:cs="Times New Roman"/>
            <w:sz w:val="22"/>
            <w:szCs w:val="22"/>
            <w:lang w:val="en-US"/>
          </w:rPr>
          <w:t>www.renaultgroup.com</w:t>
        </w:r>
      </w:hyperlink>
      <w:r w:rsidR="002D354E">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 xml:space="preserve">in the "Finance" section. </w:t>
      </w:r>
    </w:p>
    <w:p w14:paraId="2756D502" w14:textId="77777777" w:rsidR="008B5E02" w:rsidRPr="007A6061" w:rsidRDefault="008B5E02" w:rsidP="007A6061">
      <w:pPr>
        <w:spacing w:line="240" w:lineRule="auto"/>
        <w:jc w:val="both"/>
        <w:rPr>
          <w:rFonts w:ascii="Renault Group" w:eastAsia="Renault Group" w:hAnsi="Renault Group" w:cs="Times New Roman"/>
          <w:sz w:val="22"/>
          <w:szCs w:val="22"/>
          <w:lang w:val="en"/>
        </w:rPr>
      </w:pPr>
    </w:p>
    <w:p w14:paraId="51BB59A5" w14:textId="77777777" w:rsidR="00491F6C" w:rsidRPr="00EF5541" w:rsidRDefault="00491F6C" w:rsidP="00491F6C">
      <w:pPr>
        <w:spacing w:line="276" w:lineRule="auto"/>
        <w:rPr>
          <w:b/>
          <w:bCs/>
          <w:sz w:val="4"/>
          <w:szCs w:val="4"/>
          <w:lang w:val="en-US"/>
        </w:rPr>
      </w:pPr>
    </w:p>
    <w:p w14:paraId="1B6AFB71" w14:textId="0665FEEC" w:rsidR="00491F6C" w:rsidRPr="00B814A0" w:rsidRDefault="00491F6C" w:rsidP="00491F6C">
      <w:pPr>
        <w:spacing w:before="0" w:line="240" w:lineRule="auto"/>
        <w:rPr>
          <w:rFonts w:ascii="Renault Group" w:eastAsia="Renault Group" w:hAnsi="Renault Group" w:cs="Times New Roman"/>
          <w:sz w:val="22"/>
          <w:szCs w:val="22"/>
          <w:lang w:val="en-US"/>
        </w:rPr>
      </w:pPr>
      <w:r w:rsidRPr="00B814A0">
        <w:rPr>
          <w:rFonts w:ascii="Renault Group" w:eastAsia="Renault Group" w:hAnsi="Renault Group" w:cs="Times New Roman"/>
          <w:color w:val="988C7F"/>
          <w:sz w:val="32"/>
          <w:szCs w:val="32"/>
          <w:lang w:val="en-US"/>
        </w:rPr>
        <w:t>202</w:t>
      </w:r>
      <w:r w:rsidR="002560F4">
        <w:rPr>
          <w:rFonts w:ascii="Renault Group" w:eastAsia="Renault Group" w:hAnsi="Renault Group" w:cs="Times New Roman"/>
          <w:color w:val="988C7F"/>
          <w:sz w:val="32"/>
          <w:szCs w:val="32"/>
          <w:lang w:val="en-US"/>
        </w:rPr>
        <w:t>2</w:t>
      </w:r>
      <w:r w:rsidRPr="00B814A0">
        <w:rPr>
          <w:rFonts w:ascii="Renault Group" w:eastAsia="Renault Group" w:hAnsi="Renault Group" w:cs="Times New Roman"/>
          <w:color w:val="988C7F"/>
          <w:sz w:val="32"/>
          <w:szCs w:val="32"/>
          <w:lang w:val="en-US"/>
        </w:rPr>
        <w:t xml:space="preserve"> Financial Results Conference </w:t>
      </w:r>
    </w:p>
    <w:p w14:paraId="723CD220" w14:textId="6F35E1C3" w:rsidR="00491F6C" w:rsidRPr="00632D92" w:rsidRDefault="00491F6C" w:rsidP="00491F6C">
      <w:pPr>
        <w:spacing w:line="276" w:lineRule="auto"/>
        <w:rPr>
          <w:rStyle w:val="Lienhypertexte"/>
          <w:rFonts w:ascii="Renault Group" w:eastAsia="Renault Group" w:hAnsi="Renault Group" w:cs="Times New Roman"/>
          <w:sz w:val="22"/>
          <w:szCs w:val="22"/>
          <w:lang w:val="en-US"/>
        </w:rPr>
      </w:pPr>
      <w:r w:rsidRPr="00E85357">
        <w:rPr>
          <w:rFonts w:ascii="Renault Group" w:eastAsia="Renault Group" w:hAnsi="Renault Group" w:cs="Times New Roman"/>
          <w:sz w:val="22"/>
          <w:szCs w:val="22"/>
          <w:lang w:val="en-US"/>
        </w:rPr>
        <w:t xml:space="preserve">Link to follow the </w:t>
      </w:r>
      <w:r w:rsidRPr="004B6915">
        <w:rPr>
          <w:rFonts w:ascii="Renault Group" w:eastAsia="Renault Group" w:hAnsi="Renault Group" w:cs="Times New Roman"/>
          <w:sz w:val="22"/>
          <w:szCs w:val="22"/>
          <w:lang w:val="en-US"/>
        </w:rPr>
        <w:t>conference at 8am</w:t>
      </w:r>
      <w:r w:rsidR="00255912">
        <w:rPr>
          <w:rFonts w:ascii="Renault Group" w:eastAsia="Renault Group" w:hAnsi="Renault Group" w:cs="Times New Roman"/>
          <w:sz w:val="22"/>
          <w:szCs w:val="22"/>
          <w:lang w:val="en-US"/>
        </w:rPr>
        <w:t xml:space="preserve"> CET</w:t>
      </w:r>
      <w:r w:rsidRPr="00E85357">
        <w:rPr>
          <w:rFonts w:ascii="Renault Group" w:eastAsia="Renault Group" w:hAnsi="Renault Group" w:cs="Times New Roman"/>
          <w:sz w:val="22"/>
          <w:szCs w:val="22"/>
          <w:lang w:val="en-US"/>
        </w:rPr>
        <w:t xml:space="preserve"> today and available in replay: </w:t>
      </w:r>
      <w:hyperlink r:id="rId12" w:history="1">
        <w:r w:rsidRPr="00632D92">
          <w:rPr>
            <w:rStyle w:val="Lienhypertexte"/>
            <w:sz w:val="22"/>
            <w:szCs w:val="22"/>
            <w:lang w:val="en-US"/>
          </w:rPr>
          <w:t>events.renaultgroup.com/en/</w:t>
        </w:r>
      </w:hyperlink>
    </w:p>
    <w:p w14:paraId="5E13C815" w14:textId="77777777" w:rsidR="002560F4" w:rsidRPr="00E865B6" w:rsidRDefault="002560F4" w:rsidP="009E5B13">
      <w:pPr>
        <w:spacing w:before="0" w:line="240" w:lineRule="auto"/>
        <w:jc w:val="both"/>
        <w:rPr>
          <w:b/>
          <w:szCs w:val="18"/>
          <w:lang w:val="en-US"/>
        </w:rPr>
      </w:pPr>
    </w:p>
    <w:p w14:paraId="6B3108EE" w14:textId="77777777" w:rsidR="00252BE4" w:rsidRDefault="00252BE4" w:rsidP="002560F4">
      <w:pPr>
        <w:spacing w:before="0" w:line="240" w:lineRule="auto"/>
        <w:ind w:right="-2"/>
        <w:rPr>
          <w:b/>
          <w:szCs w:val="18"/>
          <w:lang w:val="en-US"/>
        </w:rPr>
      </w:pPr>
    </w:p>
    <w:p w14:paraId="6347EC75" w14:textId="77777777" w:rsidR="00252BE4" w:rsidRDefault="00252BE4" w:rsidP="002560F4">
      <w:pPr>
        <w:spacing w:before="0" w:line="240" w:lineRule="auto"/>
        <w:ind w:right="-2"/>
        <w:rPr>
          <w:b/>
          <w:szCs w:val="18"/>
          <w:lang w:val="en-US"/>
        </w:rPr>
      </w:pPr>
    </w:p>
    <w:p w14:paraId="713D26F7" w14:textId="77777777" w:rsidR="00252BE4" w:rsidRDefault="00252BE4" w:rsidP="002560F4">
      <w:pPr>
        <w:spacing w:before="0" w:line="240" w:lineRule="auto"/>
        <w:ind w:right="-2"/>
        <w:rPr>
          <w:b/>
          <w:szCs w:val="18"/>
          <w:lang w:val="en-US"/>
        </w:rPr>
      </w:pPr>
    </w:p>
    <w:p w14:paraId="7973E052" w14:textId="77777777" w:rsidR="00252BE4" w:rsidRDefault="00252BE4" w:rsidP="002560F4">
      <w:pPr>
        <w:spacing w:before="0" w:line="240" w:lineRule="auto"/>
        <w:ind w:right="-2"/>
        <w:rPr>
          <w:b/>
          <w:szCs w:val="18"/>
          <w:lang w:val="en-US"/>
        </w:rPr>
      </w:pPr>
    </w:p>
    <w:p w14:paraId="60486954" w14:textId="77777777" w:rsidR="00252BE4" w:rsidRDefault="00252BE4" w:rsidP="002560F4">
      <w:pPr>
        <w:spacing w:before="0" w:line="240" w:lineRule="auto"/>
        <w:ind w:right="-2"/>
        <w:rPr>
          <w:b/>
          <w:szCs w:val="18"/>
          <w:lang w:val="en-US"/>
        </w:rPr>
      </w:pPr>
    </w:p>
    <w:p w14:paraId="5290C350" w14:textId="77777777" w:rsidR="00252BE4" w:rsidRDefault="00252BE4" w:rsidP="002560F4">
      <w:pPr>
        <w:spacing w:before="0" w:line="240" w:lineRule="auto"/>
        <w:ind w:right="-2"/>
        <w:rPr>
          <w:b/>
          <w:szCs w:val="18"/>
          <w:lang w:val="en-US"/>
        </w:rPr>
      </w:pPr>
    </w:p>
    <w:p w14:paraId="6654A8FF" w14:textId="77777777" w:rsidR="00252BE4" w:rsidRDefault="00252BE4" w:rsidP="002560F4">
      <w:pPr>
        <w:spacing w:before="0" w:line="240" w:lineRule="auto"/>
        <w:ind w:right="-2"/>
        <w:rPr>
          <w:b/>
          <w:szCs w:val="18"/>
          <w:lang w:val="en-US"/>
        </w:rPr>
      </w:pPr>
    </w:p>
    <w:p w14:paraId="6D7ADCD6" w14:textId="77777777" w:rsidR="00252BE4" w:rsidRDefault="00252BE4" w:rsidP="002560F4">
      <w:pPr>
        <w:spacing w:before="0" w:line="240" w:lineRule="auto"/>
        <w:ind w:right="-2"/>
        <w:rPr>
          <w:b/>
          <w:szCs w:val="18"/>
          <w:lang w:val="en-US"/>
        </w:rPr>
      </w:pPr>
    </w:p>
    <w:p w14:paraId="78E0BE70" w14:textId="77777777" w:rsidR="00252BE4" w:rsidRDefault="00252BE4" w:rsidP="002560F4">
      <w:pPr>
        <w:spacing w:before="0" w:line="240" w:lineRule="auto"/>
        <w:ind w:right="-2"/>
        <w:rPr>
          <w:b/>
          <w:szCs w:val="18"/>
          <w:lang w:val="en-US"/>
        </w:rPr>
      </w:pPr>
    </w:p>
    <w:p w14:paraId="6B6956C6" w14:textId="77777777" w:rsidR="00AA10BD" w:rsidRDefault="00AA10BD" w:rsidP="002560F4">
      <w:pPr>
        <w:spacing w:before="0" w:line="240" w:lineRule="auto"/>
        <w:ind w:right="-2"/>
        <w:rPr>
          <w:b/>
          <w:szCs w:val="18"/>
          <w:lang w:val="en-US"/>
        </w:rPr>
      </w:pPr>
    </w:p>
    <w:p w14:paraId="104D6E8F" w14:textId="77777777" w:rsidR="00AA10BD" w:rsidRDefault="00AA10BD" w:rsidP="002560F4">
      <w:pPr>
        <w:spacing w:before="0" w:line="240" w:lineRule="auto"/>
        <w:ind w:right="-2"/>
        <w:rPr>
          <w:b/>
          <w:szCs w:val="18"/>
          <w:lang w:val="en-US"/>
        </w:rPr>
      </w:pPr>
    </w:p>
    <w:p w14:paraId="0E84B821" w14:textId="77777777" w:rsidR="00AA10BD" w:rsidRDefault="00AA10BD" w:rsidP="002560F4">
      <w:pPr>
        <w:spacing w:before="0" w:line="240" w:lineRule="auto"/>
        <w:ind w:right="-2"/>
        <w:rPr>
          <w:b/>
          <w:szCs w:val="18"/>
          <w:lang w:val="en-US"/>
        </w:rPr>
      </w:pPr>
    </w:p>
    <w:p w14:paraId="39E3E676" w14:textId="77777777" w:rsidR="00AA10BD" w:rsidRDefault="00AA10BD" w:rsidP="002560F4">
      <w:pPr>
        <w:spacing w:before="0" w:line="240" w:lineRule="auto"/>
        <w:ind w:right="-2"/>
        <w:rPr>
          <w:b/>
          <w:szCs w:val="18"/>
          <w:lang w:val="en-US"/>
        </w:rPr>
      </w:pPr>
    </w:p>
    <w:p w14:paraId="4D0485BA" w14:textId="77777777" w:rsidR="00AA10BD" w:rsidRDefault="00AA10BD" w:rsidP="002560F4">
      <w:pPr>
        <w:spacing w:before="0" w:line="240" w:lineRule="auto"/>
        <w:ind w:right="-2"/>
        <w:rPr>
          <w:b/>
          <w:szCs w:val="18"/>
          <w:lang w:val="en-US"/>
        </w:rPr>
      </w:pPr>
    </w:p>
    <w:p w14:paraId="563B0172" w14:textId="6FEAAD79" w:rsidR="002560F4" w:rsidRPr="006C54ED" w:rsidRDefault="00981FE9" w:rsidP="002560F4">
      <w:pPr>
        <w:spacing w:before="0" w:line="240" w:lineRule="auto"/>
        <w:ind w:right="-2"/>
        <w:rPr>
          <w:rStyle w:val="Lienhypertexte"/>
          <w:rFonts w:cs="Arial"/>
          <w:b/>
          <w:bCs/>
          <w:color w:val="auto"/>
          <w:szCs w:val="18"/>
          <w:lang w:val="en-US"/>
        </w:rPr>
      </w:pPr>
      <w:r>
        <w:rPr>
          <w:b/>
          <w:szCs w:val="18"/>
          <w:lang w:val="en-US"/>
        </w:rPr>
        <w:lastRenderedPageBreak/>
        <w:t xml:space="preserve"> </w:t>
      </w:r>
      <w:r w:rsidR="002560F4" w:rsidRPr="006C54ED">
        <w:rPr>
          <w:b/>
          <w:szCs w:val="18"/>
          <w:lang w:val="en-US"/>
        </w:rPr>
        <w:t xml:space="preserve">About Renault Group </w:t>
      </w:r>
    </w:p>
    <w:p w14:paraId="30B35613" w14:textId="253B8896" w:rsidR="002560F4" w:rsidRDefault="002560F4" w:rsidP="002560F4">
      <w:pPr>
        <w:spacing w:before="0"/>
        <w:ind w:right="-2"/>
        <w:contextualSpacing/>
        <w:jc w:val="both"/>
        <w:rPr>
          <w:bCs/>
          <w:sz w:val="16"/>
          <w:szCs w:val="16"/>
          <w:lang w:val="en-US"/>
        </w:rPr>
      </w:pPr>
      <w:r w:rsidRPr="005E351E">
        <w:rPr>
          <w:lang w:val="en-GB"/>
        </w:rPr>
        <w:t>Renault Group is at the forefront of a mobility that is reinventing itself. Strengthened by its alliance with Nissan and Mitsubishi Motors, and its unique expertise in electrification, Renault Group comprises 4 complementary brands - Renault, Dacia, Alpine and Mobilize - offering sustainable and innovative mobility solutions to its customers. Established in more than 130 countries, the Group has sold 2.</w:t>
      </w:r>
      <w:r w:rsidR="003326FF">
        <w:rPr>
          <w:lang w:val="en-GB"/>
        </w:rPr>
        <w:t>1</w:t>
      </w:r>
      <w:r w:rsidRPr="005E351E">
        <w:rPr>
          <w:lang w:val="en-GB"/>
        </w:rPr>
        <w:t xml:space="preserve"> million vehicles in 202</w:t>
      </w:r>
      <w:r w:rsidR="003326FF">
        <w:rPr>
          <w:lang w:val="en-GB"/>
        </w:rPr>
        <w:t>2</w:t>
      </w:r>
      <w:r w:rsidRPr="005E351E">
        <w:rPr>
          <w:lang w:val="en-GB"/>
        </w:rPr>
        <w:t>. It employs nearly 111,000 people who embody its Purpose every day, so that mobility brings people closer. Ready to pursue challenges both on the road and in competition, Renault Group is committed to an ambitious transformation that will generate value. This is centred on the development of new technologies and services, and a new range of even more competitive, balanced and electrified vehicles. In line with environmental challenges, the Group’s ambition is to achieve carbon neutrality in Europe by 2040.</w:t>
      </w:r>
      <w:r w:rsidRPr="00420BF3">
        <w:rPr>
          <w:bCs/>
          <w:sz w:val="16"/>
          <w:szCs w:val="16"/>
          <w:lang w:val="en-US"/>
        </w:rPr>
        <w:t xml:space="preserve"> </w:t>
      </w:r>
    </w:p>
    <w:p w14:paraId="6AF9D158" w14:textId="3908A1B0" w:rsidR="002560F4" w:rsidRPr="005E351E" w:rsidRDefault="00000000" w:rsidP="002560F4">
      <w:pPr>
        <w:spacing w:before="0"/>
        <w:ind w:right="-2"/>
        <w:contextualSpacing/>
        <w:jc w:val="both"/>
        <w:rPr>
          <w:rStyle w:val="Lienhypertexte"/>
          <w:bCs/>
          <w:color w:val="auto"/>
          <w:sz w:val="16"/>
          <w:szCs w:val="16"/>
          <w:lang w:val="en-US"/>
        </w:rPr>
      </w:pPr>
      <w:hyperlink r:id="rId13" w:history="1">
        <w:r w:rsidR="002D354E">
          <w:rPr>
            <w:rStyle w:val="Lienhypertexte"/>
            <w:lang w:val="en-GB"/>
          </w:rPr>
          <w:t>www.renaultgroup.com</w:t>
        </w:r>
      </w:hyperlink>
    </w:p>
    <w:p w14:paraId="0CE110E3" w14:textId="77777777" w:rsidR="002560F4" w:rsidRPr="00D2137F" w:rsidRDefault="002560F4" w:rsidP="002560F4">
      <w:pPr>
        <w:spacing w:line="276" w:lineRule="auto"/>
        <w:rPr>
          <w:b/>
          <w:bCs/>
          <w:sz w:val="22"/>
          <w:szCs w:val="22"/>
          <w:lang w:val="en-US"/>
        </w:rPr>
      </w:pPr>
    </w:p>
    <w:tbl>
      <w:tblPr>
        <w:tblStyle w:val="Grilledutableau"/>
        <w:tblW w:w="10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2694"/>
        <w:gridCol w:w="141"/>
        <w:gridCol w:w="3828"/>
        <w:gridCol w:w="3118"/>
        <w:gridCol w:w="1027"/>
      </w:tblGrid>
      <w:tr w:rsidR="002560F4" w:rsidRPr="003920FB" w14:paraId="2013B341" w14:textId="77777777" w:rsidTr="00A63696">
        <w:trPr>
          <w:gridAfter w:val="2"/>
          <w:wAfter w:w="4145" w:type="dxa"/>
        </w:trPr>
        <w:tc>
          <w:tcPr>
            <w:tcW w:w="2694" w:type="dxa"/>
          </w:tcPr>
          <w:p w14:paraId="315187F1" w14:textId="77777777" w:rsidR="002560F4" w:rsidRDefault="002560F4" w:rsidP="00A63696">
            <w:pPr>
              <w:pStyle w:val="Pieddepage"/>
              <w:rPr>
                <w:b/>
                <w:sz w:val="20"/>
              </w:rPr>
            </w:pPr>
            <w:r w:rsidRPr="00CB1F1A">
              <w:rPr>
                <w:b/>
                <w:sz w:val="20"/>
              </w:rPr>
              <w:t xml:space="preserve">RENAULT GROUP </w:t>
            </w:r>
            <w:r>
              <w:rPr>
                <w:b/>
                <w:sz w:val="20"/>
              </w:rPr>
              <w:t>INVESTOR</w:t>
            </w:r>
          </w:p>
          <w:p w14:paraId="1FD8FA3A" w14:textId="77777777" w:rsidR="002560F4" w:rsidRPr="00CB1F1A" w:rsidRDefault="002560F4" w:rsidP="00A63696">
            <w:pPr>
              <w:pStyle w:val="Pieddepage"/>
              <w:rPr>
                <w:b/>
                <w:sz w:val="20"/>
              </w:rPr>
            </w:pPr>
            <w:r>
              <w:rPr>
                <w:b/>
                <w:sz w:val="20"/>
              </w:rPr>
              <w:t xml:space="preserve">RELATIONS </w:t>
            </w:r>
          </w:p>
        </w:tc>
        <w:tc>
          <w:tcPr>
            <w:tcW w:w="141" w:type="dxa"/>
          </w:tcPr>
          <w:p w14:paraId="62043618" w14:textId="77777777" w:rsidR="002560F4" w:rsidRDefault="002560F4" w:rsidP="00A63696">
            <w:pPr>
              <w:pStyle w:val="Pieddepage"/>
              <w:rPr>
                <w:sz w:val="20"/>
              </w:rPr>
            </w:pPr>
          </w:p>
        </w:tc>
        <w:tc>
          <w:tcPr>
            <w:tcW w:w="3828" w:type="dxa"/>
          </w:tcPr>
          <w:p w14:paraId="569C2B4E" w14:textId="77777777" w:rsidR="002560F4" w:rsidRPr="00D476F8" w:rsidRDefault="002560F4" w:rsidP="00A63696">
            <w:pPr>
              <w:pStyle w:val="Pieddepage"/>
              <w:rPr>
                <w:sz w:val="20"/>
              </w:rPr>
            </w:pPr>
            <w:r w:rsidRPr="00D476F8">
              <w:rPr>
                <w:sz w:val="20"/>
              </w:rPr>
              <w:t>Philippine de Sch</w:t>
            </w:r>
            <w:r>
              <w:rPr>
                <w:sz w:val="20"/>
              </w:rPr>
              <w:t>o</w:t>
            </w:r>
            <w:r w:rsidRPr="00D476F8">
              <w:rPr>
                <w:sz w:val="20"/>
              </w:rPr>
              <w:t>nen</w:t>
            </w:r>
          </w:p>
          <w:p w14:paraId="40364174" w14:textId="77777777" w:rsidR="002560F4" w:rsidRDefault="002560F4" w:rsidP="00A63696">
            <w:pPr>
              <w:pStyle w:val="Pieddepage"/>
              <w:rPr>
                <w:bCs/>
                <w:sz w:val="20"/>
              </w:rPr>
            </w:pPr>
            <w:r w:rsidRPr="00D476F8">
              <w:rPr>
                <w:bCs/>
                <w:sz w:val="20"/>
              </w:rPr>
              <w:t>+</w:t>
            </w:r>
            <w:r w:rsidRPr="003A6E7A">
              <w:rPr>
                <w:bCs/>
                <w:sz w:val="20"/>
              </w:rPr>
              <w:t xml:space="preserve">33 </w:t>
            </w:r>
            <w:r>
              <w:rPr>
                <w:bCs/>
                <w:sz w:val="20"/>
              </w:rPr>
              <w:t>6 13 45 68 39</w:t>
            </w:r>
          </w:p>
          <w:p w14:paraId="7C79CB1D" w14:textId="0DE59CFC" w:rsidR="002560F4" w:rsidRPr="00D476F8" w:rsidRDefault="00000000" w:rsidP="00A63696">
            <w:pPr>
              <w:pStyle w:val="Pieddepage"/>
              <w:rPr>
                <w:sz w:val="20"/>
              </w:rPr>
            </w:pPr>
            <w:hyperlink r:id="rId14" w:history="1">
              <w:r w:rsidR="002560F4" w:rsidRPr="00E62E92">
                <w:rPr>
                  <w:rStyle w:val="Lienhypertexte"/>
                  <w:sz w:val="20"/>
                </w:rPr>
                <w:t>philippine.de-schonen@renault.com</w:t>
              </w:r>
            </w:hyperlink>
          </w:p>
          <w:p w14:paraId="67721EC7" w14:textId="77777777" w:rsidR="002560F4" w:rsidRPr="00D476F8" w:rsidRDefault="002560F4" w:rsidP="00A63696">
            <w:pPr>
              <w:pStyle w:val="Pieddepage"/>
              <w:rPr>
                <w:sz w:val="20"/>
              </w:rPr>
            </w:pPr>
          </w:p>
        </w:tc>
      </w:tr>
      <w:tr w:rsidR="002560F4" w:rsidRPr="003A25B5" w14:paraId="16182157" w14:textId="77777777" w:rsidTr="00A63696">
        <w:tc>
          <w:tcPr>
            <w:tcW w:w="2694" w:type="dxa"/>
          </w:tcPr>
          <w:p w14:paraId="2ED07ADD" w14:textId="77777777" w:rsidR="002560F4" w:rsidRPr="00F85660" w:rsidRDefault="002560F4" w:rsidP="00A63696">
            <w:pPr>
              <w:pStyle w:val="Pieddepage"/>
              <w:rPr>
                <w:b/>
                <w:sz w:val="20"/>
                <w:lang w:val="en-US"/>
              </w:rPr>
            </w:pPr>
            <w:r w:rsidRPr="00F85660">
              <w:rPr>
                <w:b/>
                <w:sz w:val="20"/>
                <w:lang w:val="en-US"/>
              </w:rPr>
              <w:t xml:space="preserve">RENAULT GROUP </w:t>
            </w:r>
          </w:p>
          <w:p w14:paraId="735F96DC" w14:textId="77777777" w:rsidR="00E7354A" w:rsidRDefault="002560F4" w:rsidP="00A63696">
            <w:pPr>
              <w:pStyle w:val="Pieddepage"/>
              <w:rPr>
                <w:b/>
                <w:sz w:val="20"/>
                <w:lang w:val="en-US"/>
              </w:rPr>
            </w:pPr>
            <w:r w:rsidRPr="00F85660">
              <w:rPr>
                <w:b/>
                <w:sz w:val="20"/>
                <w:lang w:val="en-US"/>
              </w:rPr>
              <w:t xml:space="preserve">PRESS </w:t>
            </w:r>
          </w:p>
          <w:p w14:paraId="0F06373F" w14:textId="797407E3" w:rsidR="002560F4" w:rsidRPr="00F85660" w:rsidRDefault="002560F4" w:rsidP="00A63696">
            <w:pPr>
              <w:pStyle w:val="Pieddepage"/>
              <w:rPr>
                <w:b/>
                <w:sz w:val="20"/>
                <w:lang w:val="en-US"/>
              </w:rPr>
            </w:pPr>
            <w:r w:rsidRPr="00F85660">
              <w:rPr>
                <w:b/>
                <w:sz w:val="20"/>
                <w:lang w:val="en-US"/>
              </w:rPr>
              <w:t xml:space="preserve">RELATIONS </w:t>
            </w:r>
          </w:p>
          <w:p w14:paraId="7C821FE2" w14:textId="7E2F58F1" w:rsidR="002560F4" w:rsidRPr="00F85660" w:rsidRDefault="002560F4" w:rsidP="00A63696">
            <w:pPr>
              <w:pStyle w:val="Pieddepage"/>
              <w:rPr>
                <w:b/>
                <w:sz w:val="20"/>
                <w:lang w:val="en-US"/>
              </w:rPr>
            </w:pPr>
          </w:p>
        </w:tc>
        <w:tc>
          <w:tcPr>
            <w:tcW w:w="141" w:type="dxa"/>
          </w:tcPr>
          <w:p w14:paraId="270E238E" w14:textId="77777777" w:rsidR="002560F4" w:rsidRPr="00F85660" w:rsidRDefault="002560F4" w:rsidP="00A63696">
            <w:pPr>
              <w:pStyle w:val="Pieddepage"/>
              <w:rPr>
                <w:sz w:val="20"/>
                <w:lang w:val="en-US"/>
              </w:rPr>
            </w:pPr>
          </w:p>
        </w:tc>
        <w:tc>
          <w:tcPr>
            <w:tcW w:w="3828" w:type="dxa"/>
          </w:tcPr>
          <w:p w14:paraId="6476BB33" w14:textId="77777777" w:rsidR="002560F4" w:rsidRPr="00C442A4" w:rsidRDefault="002560F4" w:rsidP="00A63696">
            <w:pPr>
              <w:pStyle w:val="Pieddepage"/>
              <w:rPr>
                <w:sz w:val="20"/>
              </w:rPr>
            </w:pPr>
            <w:r w:rsidRPr="00C442A4">
              <w:rPr>
                <w:sz w:val="20"/>
              </w:rPr>
              <w:t>Frédéric Texier</w:t>
            </w:r>
          </w:p>
          <w:p w14:paraId="39F891B5" w14:textId="77777777" w:rsidR="002560F4" w:rsidRPr="00C442A4" w:rsidRDefault="002560F4" w:rsidP="00A63696">
            <w:pPr>
              <w:pStyle w:val="Pieddepage"/>
              <w:rPr>
                <w:sz w:val="20"/>
              </w:rPr>
            </w:pPr>
            <w:r w:rsidRPr="00C442A4">
              <w:rPr>
                <w:sz w:val="20"/>
              </w:rPr>
              <w:t>+33 6 10 78 49 20</w:t>
            </w:r>
          </w:p>
          <w:p w14:paraId="0FFAA21A" w14:textId="3CC415FC" w:rsidR="002560F4" w:rsidRPr="00D476F8" w:rsidRDefault="00000000" w:rsidP="00A63696">
            <w:pPr>
              <w:pStyle w:val="Pieddepage"/>
              <w:rPr>
                <w:sz w:val="20"/>
              </w:rPr>
            </w:pPr>
            <w:hyperlink r:id="rId15" w:history="1">
              <w:r w:rsidR="002560F4" w:rsidRPr="00C442A4">
                <w:rPr>
                  <w:rStyle w:val="Lienhypertexte"/>
                  <w:sz w:val="20"/>
                </w:rPr>
                <w:t>frederic.texier@renault.com</w:t>
              </w:r>
            </w:hyperlink>
          </w:p>
        </w:tc>
        <w:tc>
          <w:tcPr>
            <w:tcW w:w="3118" w:type="dxa"/>
          </w:tcPr>
          <w:p w14:paraId="1D296EA7" w14:textId="77777777" w:rsidR="002560F4" w:rsidRPr="005A6611" w:rsidRDefault="002560F4" w:rsidP="00A63696">
            <w:pPr>
              <w:pStyle w:val="Pieddepage"/>
              <w:rPr>
                <w:sz w:val="20"/>
              </w:rPr>
            </w:pPr>
            <w:r w:rsidRPr="005A6611">
              <w:rPr>
                <w:sz w:val="20"/>
              </w:rPr>
              <w:t>Astrid de Latude</w:t>
            </w:r>
          </w:p>
          <w:p w14:paraId="5986C0C7" w14:textId="77777777" w:rsidR="002560F4" w:rsidRPr="00D476F8" w:rsidRDefault="002560F4" w:rsidP="00A63696">
            <w:pPr>
              <w:pStyle w:val="Pieddepage"/>
              <w:rPr>
                <w:sz w:val="20"/>
              </w:rPr>
            </w:pPr>
            <w:r w:rsidRPr="005A6611">
              <w:rPr>
                <w:sz w:val="20"/>
              </w:rPr>
              <w:t>+33 6 25 63 22 08</w:t>
            </w:r>
          </w:p>
          <w:p w14:paraId="219E7068" w14:textId="498C455B" w:rsidR="002560F4" w:rsidRPr="00D476F8" w:rsidRDefault="00000000" w:rsidP="00A63696">
            <w:pPr>
              <w:pStyle w:val="Pieddepage"/>
              <w:rPr>
                <w:sz w:val="20"/>
              </w:rPr>
            </w:pPr>
            <w:hyperlink r:id="rId16" w:history="1">
              <w:r w:rsidR="002560F4" w:rsidRPr="00D476F8">
                <w:rPr>
                  <w:rStyle w:val="Lienhypertexte"/>
                  <w:sz w:val="20"/>
                </w:rPr>
                <w:t>astrid.de-latude@renault.com</w:t>
              </w:r>
            </w:hyperlink>
          </w:p>
        </w:tc>
        <w:tc>
          <w:tcPr>
            <w:tcW w:w="1027" w:type="dxa"/>
          </w:tcPr>
          <w:p w14:paraId="564AFEA7" w14:textId="77777777" w:rsidR="002560F4" w:rsidRPr="00D476F8" w:rsidRDefault="002560F4" w:rsidP="00A63696">
            <w:pPr>
              <w:pStyle w:val="Pieddepage"/>
              <w:rPr>
                <w:rStyle w:val="Numrodepage"/>
                <w:b/>
                <w:sz w:val="20"/>
              </w:rPr>
            </w:pPr>
          </w:p>
        </w:tc>
      </w:tr>
    </w:tbl>
    <w:p w14:paraId="02E99663" w14:textId="77777777" w:rsidR="002560F4" w:rsidRPr="00D476F8" w:rsidRDefault="002560F4" w:rsidP="009E5B13">
      <w:pPr>
        <w:spacing w:before="0" w:line="240" w:lineRule="auto"/>
        <w:jc w:val="both"/>
        <w:rPr>
          <w:b/>
          <w:szCs w:val="18"/>
        </w:rPr>
      </w:pPr>
    </w:p>
    <w:sectPr w:rsidR="002560F4" w:rsidRPr="00D476F8" w:rsidSect="003E30D7">
      <w:headerReference w:type="even" r:id="rId17"/>
      <w:headerReference w:type="default" r:id="rId18"/>
      <w:footerReference w:type="default" r:id="rId19"/>
      <w:headerReference w:type="first" r:id="rId20"/>
      <w:footerReference w:type="first" r:id="rId21"/>
      <w:footnotePr>
        <w:numRestart w:val="eachPage"/>
      </w:footnotePr>
      <w:pgSz w:w="11906" w:h="16838" w:code="9"/>
      <w:pgMar w:top="2155" w:right="851" w:bottom="170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057D" w14:textId="77777777" w:rsidR="002F4A7D" w:rsidRDefault="002F4A7D" w:rsidP="00A602D8">
      <w:pPr>
        <w:spacing w:before="0" w:line="240" w:lineRule="auto"/>
      </w:pPr>
      <w:r>
        <w:separator/>
      </w:r>
    </w:p>
  </w:endnote>
  <w:endnote w:type="continuationSeparator" w:id="0">
    <w:p w14:paraId="57218B9D" w14:textId="77777777" w:rsidR="002F4A7D" w:rsidRDefault="002F4A7D" w:rsidP="00A602D8">
      <w:pPr>
        <w:spacing w:before="0" w:line="240" w:lineRule="auto"/>
      </w:pPr>
      <w:r>
        <w:continuationSeparator/>
      </w:r>
    </w:p>
  </w:endnote>
  <w:endnote w:type="continuationNotice" w:id="1">
    <w:p w14:paraId="409D1A68" w14:textId="77777777" w:rsidR="002F4A7D" w:rsidRDefault="002F4A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Renault Group Semibold">
    <w:altName w:val="Calibri"/>
    <w:charset w:val="00"/>
    <w:family w:val="auto"/>
    <w:pitch w:val="variable"/>
    <w:sig w:usb0="E00002A7" w:usb1="50000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enault Group Light">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341C11D3" w:rsidR="00CB1F1A" w:rsidRPr="007D3970" w:rsidRDefault="00CB1F1A"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Pr>
              <w:rStyle w:val="Numrodepage"/>
              <w:b/>
              <w:noProof/>
            </w:rPr>
            <w:t>2</w:t>
          </w:r>
          <w:r w:rsidRPr="007D3970">
            <w:rPr>
              <w:rStyle w:val="Numrodepage"/>
              <w:b/>
            </w:rPr>
            <w:fldChar w:fldCharType="end"/>
          </w:r>
        </w:p>
      </w:tc>
    </w:tr>
  </w:tbl>
  <w:p w14:paraId="1ED112E5" w14:textId="77777777" w:rsidR="007D3970" w:rsidRPr="007D3970" w:rsidRDefault="007D3970" w:rsidP="007D3970">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44FA79A8" w:rsidR="007D3970" w:rsidRPr="007D3970" w:rsidRDefault="007D3970">
          <w:pPr>
            <w:pStyle w:val="Pieddepage"/>
            <w:rPr>
              <w:b/>
              <w:sz w:val="16"/>
              <w:szCs w:val="16"/>
            </w:rPr>
          </w:pPr>
          <w:r w:rsidRPr="007D3970">
            <w:rPr>
              <w:b/>
              <w:sz w:val="16"/>
              <w:szCs w:val="16"/>
            </w:rPr>
            <w:t>RENAULT PRESS</w:t>
          </w:r>
        </w:p>
      </w:tc>
      <w:tc>
        <w:tcPr>
          <w:tcW w:w="8079" w:type="dxa"/>
        </w:tcPr>
        <w:p w14:paraId="0856969A" w14:textId="77777777" w:rsidR="007D3970" w:rsidRPr="001814C1" w:rsidRDefault="007D3970" w:rsidP="007D3970">
          <w:pPr>
            <w:pStyle w:val="Pieddepage"/>
            <w:rPr>
              <w:lang w:val="en-US"/>
            </w:rPr>
          </w:pPr>
          <w:r w:rsidRPr="001814C1">
            <w:rPr>
              <w:lang w:val="en-US"/>
            </w:rPr>
            <w:t>+33 0 00 00 00</w:t>
          </w:r>
        </w:p>
        <w:p w14:paraId="7CDC4ABD" w14:textId="77777777" w:rsidR="007D3970" w:rsidRPr="001814C1" w:rsidRDefault="007D3970" w:rsidP="007D3970">
          <w:pPr>
            <w:pStyle w:val="Pieddepage"/>
            <w:rPr>
              <w:lang w:val="en-US"/>
            </w:rPr>
          </w:pPr>
          <w:r w:rsidRPr="001814C1">
            <w:rPr>
              <w:lang w:val="en-US"/>
            </w:rPr>
            <w:t xml:space="preserve">media.renault@renault.fr </w:t>
          </w:r>
        </w:p>
        <w:p w14:paraId="2A2C28BA" w14:textId="77777777" w:rsidR="007D3970" w:rsidRPr="001814C1" w:rsidRDefault="007D3970" w:rsidP="007D3970">
          <w:pPr>
            <w:pStyle w:val="Pieddepage"/>
            <w:rPr>
              <w:lang w:val="en-US"/>
            </w:rPr>
          </w:pPr>
          <w:r w:rsidRPr="001814C1">
            <w:rPr>
              <w:lang w:val="en-US"/>
            </w:rPr>
            <w:t>mediarenault.com</w:t>
          </w:r>
        </w:p>
      </w:tc>
      <w:tc>
        <w:tcPr>
          <w:tcW w:w="555" w:type="dxa"/>
        </w:tcPr>
        <w:p w14:paraId="7B2328FB"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noProof/>
            </w:rPr>
            <w:t>1</w:t>
          </w:r>
          <w:r w:rsidRPr="007D3970">
            <w:rPr>
              <w:rStyle w:val="Numrodepage"/>
              <w:b/>
            </w:rPr>
            <w:fldChar w:fldCharType="end"/>
          </w:r>
        </w:p>
      </w:tc>
    </w:tr>
  </w:tbl>
  <w:p w14:paraId="787994F5"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7DB9" w14:textId="77777777" w:rsidR="002F4A7D" w:rsidRDefault="002F4A7D" w:rsidP="00A602D8">
      <w:pPr>
        <w:spacing w:before="0" w:line="240" w:lineRule="auto"/>
      </w:pPr>
      <w:r>
        <w:separator/>
      </w:r>
    </w:p>
  </w:footnote>
  <w:footnote w:type="continuationSeparator" w:id="0">
    <w:p w14:paraId="021B5DE1" w14:textId="77777777" w:rsidR="002F4A7D" w:rsidRDefault="002F4A7D" w:rsidP="00A602D8">
      <w:pPr>
        <w:spacing w:before="0" w:line="240" w:lineRule="auto"/>
      </w:pPr>
      <w:r>
        <w:continuationSeparator/>
      </w:r>
    </w:p>
  </w:footnote>
  <w:footnote w:type="continuationNotice" w:id="1">
    <w:p w14:paraId="1C57FAE6" w14:textId="77777777" w:rsidR="002F4A7D" w:rsidRDefault="002F4A7D">
      <w:pPr>
        <w:spacing w:before="0" w:line="240" w:lineRule="auto"/>
      </w:pPr>
    </w:p>
  </w:footnote>
  <w:footnote w:id="2">
    <w:p w14:paraId="339B6D8C" w14:textId="4D091C10" w:rsidR="002E4A59" w:rsidRPr="002E4A59" w:rsidRDefault="002E4A59">
      <w:pPr>
        <w:pStyle w:val="Notedebasdepage"/>
        <w:rPr>
          <w:i/>
          <w:sz w:val="14"/>
          <w:szCs w:val="14"/>
          <w:lang w:val="en-US"/>
        </w:rPr>
      </w:pPr>
      <w:r w:rsidRPr="0064356A">
        <w:rPr>
          <w:rStyle w:val="Appelnotedebasdep"/>
          <w:sz w:val="16"/>
          <w:szCs w:val="16"/>
        </w:rPr>
        <w:footnoteRef/>
      </w:r>
      <w:r w:rsidRPr="002E4A59">
        <w:rPr>
          <w:lang w:val="en-US"/>
        </w:rPr>
        <w:t xml:space="preserve"> </w:t>
      </w:r>
      <w:r w:rsidRPr="006A4DD2">
        <w:rPr>
          <w:i/>
          <w:sz w:val="14"/>
          <w:szCs w:val="14"/>
          <w:lang w:val="en"/>
        </w:rPr>
        <w:t>The results presented relate to continuing</w:t>
      </w:r>
      <w:r w:rsidRPr="001B2973">
        <w:rPr>
          <w:i/>
          <w:sz w:val="14"/>
          <w:szCs w:val="14"/>
          <w:lang w:val="en"/>
        </w:rPr>
        <w:t xml:space="preserve"> operations</w:t>
      </w:r>
      <w:r>
        <w:rPr>
          <w:i/>
          <w:sz w:val="14"/>
          <w:szCs w:val="14"/>
          <w:lang w:val="en"/>
        </w:rPr>
        <w:t xml:space="preserve"> (excluding Avtovaz and Renault Russia whose disposals were announced on May 16, 2022)</w:t>
      </w:r>
    </w:p>
  </w:footnote>
  <w:footnote w:id="3">
    <w:p w14:paraId="05BA71E9" w14:textId="38C4B0BF" w:rsidR="00D2193F" w:rsidRPr="009E22F8" w:rsidRDefault="00D2193F" w:rsidP="00D2193F">
      <w:pPr>
        <w:pStyle w:val="Notedebasdepage"/>
        <w:rPr>
          <w:i/>
          <w:sz w:val="14"/>
          <w:szCs w:val="14"/>
          <w:lang w:val="en-US"/>
        </w:rPr>
      </w:pPr>
      <w:r w:rsidRPr="00A872C3">
        <w:rPr>
          <w:rStyle w:val="Appelnotedebasdep"/>
          <w:sz w:val="16"/>
          <w:szCs w:val="16"/>
          <w:lang w:val="en"/>
        </w:rPr>
        <w:footnoteRef/>
      </w:r>
      <w:r w:rsidRPr="00A872C3">
        <w:rPr>
          <w:sz w:val="16"/>
          <w:szCs w:val="16"/>
          <w:lang w:val="en"/>
        </w:rPr>
        <w:t xml:space="preserve"> </w:t>
      </w:r>
      <w:r w:rsidRPr="006A4DD2">
        <w:rPr>
          <w:i/>
          <w:sz w:val="14"/>
          <w:szCs w:val="14"/>
          <w:lang w:val="en"/>
        </w:rPr>
        <w:t>The results presented relate to continuing</w:t>
      </w:r>
      <w:r w:rsidRPr="001B2973">
        <w:rPr>
          <w:i/>
          <w:sz w:val="14"/>
          <w:szCs w:val="14"/>
          <w:lang w:val="en"/>
        </w:rPr>
        <w:t xml:space="preserve"> operations</w:t>
      </w:r>
      <w:r>
        <w:rPr>
          <w:i/>
          <w:sz w:val="14"/>
          <w:szCs w:val="14"/>
          <w:lang w:val="en"/>
        </w:rPr>
        <w:t xml:space="preserve"> (excluding Avtovaz and Renault Russia whose disposals were announced on May 16, 2022)</w:t>
      </w:r>
    </w:p>
  </w:footnote>
  <w:footnote w:id="4">
    <w:p w14:paraId="3AACD89F" w14:textId="2B0E5A85" w:rsidR="007B1262" w:rsidRPr="009450D1" w:rsidRDefault="007B1262">
      <w:pPr>
        <w:pStyle w:val="Notedebasdepage"/>
        <w:rPr>
          <w:lang w:val="en-US"/>
        </w:rPr>
      </w:pPr>
      <w:r w:rsidRPr="006817C7">
        <w:rPr>
          <w:rStyle w:val="Appelnotedebasdep"/>
          <w:sz w:val="16"/>
          <w:szCs w:val="16"/>
        </w:rPr>
        <w:footnoteRef/>
      </w:r>
      <w:r w:rsidRPr="009450D1">
        <w:rPr>
          <w:lang w:val="en-US"/>
        </w:rPr>
        <w:t xml:space="preserve"> </w:t>
      </w:r>
      <w:r w:rsidR="00087F9C" w:rsidRPr="009450D1">
        <w:rPr>
          <w:sz w:val="14"/>
          <w:szCs w:val="14"/>
          <w:lang w:val="en-GB"/>
        </w:rPr>
        <w:t xml:space="preserve"> </w:t>
      </w:r>
      <w:r w:rsidR="009B5D08" w:rsidRPr="008C07E6">
        <w:rPr>
          <w:i/>
          <w:iCs/>
          <w:sz w:val="14"/>
          <w:szCs w:val="14"/>
          <w:lang w:val="en-GB"/>
        </w:rPr>
        <w:t>Tons of</w:t>
      </w:r>
      <w:r w:rsidR="00087F9C" w:rsidRPr="008C07E6">
        <w:rPr>
          <w:i/>
          <w:iCs/>
          <w:sz w:val="14"/>
          <w:szCs w:val="14"/>
          <w:lang w:val="en-GB"/>
        </w:rPr>
        <w:t xml:space="preserve"> CO</w:t>
      </w:r>
      <w:r w:rsidR="00087F9C" w:rsidRPr="008C07E6">
        <w:rPr>
          <w:i/>
          <w:iCs/>
          <w:sz w:val="14"/>
          <w:szCs w:val="14"/>
          <w:vertAlign w:val="subscript"/>
          <w:lang w:val="en-GB"/>
        </w:rPr>
        <w:t xml:space="preserve">2 </w:t>
      </w:r>
      <w:r w:rsidR="00087F9C" w:rsidRPr="008C07E6">
        <w:rPr>
          <w:i/>
          <w:iCs/>
          <w:sz w:val="14"/>
          <w:szCs w:val="14"/>
          <w:lang w:val="en-GB"/>
        </w:rPr>
        <w:t>eq/vh. @150 000 km, Renault, Dacia, Alpine, R</w:t>
      </w:r>
      <w:r w:rsidR="00B33886" w:rsidRPr="008C07E6">
        <w:rPr>
          <w:i/>
          <w:iCs/>
          <w:sz w:val="14"/>
          <w:szCs w:val="14"/>
          <w:lang w:val="en-GB"/>
        </w:rPr>
        <w:t xml:space="preserve">enault Korea </w:t>
      </w:r>
      <w:r w:rsidR="00087F9C" w:rsidRPr="008C07E6">
        <w:rPr>
          <w:i/>
          <w:iCs/>
          <w:sz w:val="14"/>
          <w:szCs w:val="14"/>
          <w:lang w:val="en-GB"/>
        </w:rPr>
        <w:t>M</w:t>
      </w:r>
      <w:r w:rsidR="00B33886" w:rsidRPr="008C07E6">
        <w:rPr>
          <w:i/>
          <w:iCs/>
          <w:sz w:val="14"/>
          <w:szCs w:val="14"/>
          <w:lang w:val="en-GB"/>
        </w:rPr>
        <w:t>otor</w:t>
      </w:r>
      <w:r w:rsidR="002A1375" w:rsidRPr="008C07E6">
        <w:rPr>
          <w:i/>
          <w:iCs/>
          <w:sz w:val="14"/>
          <w:szCs w:val="14"/>
          <w:lang w:val="en-GB"/>
        </w:rPr>
        <w:t>s</w:t>
      </w:r>
    </w:p>
  </w:footnote>
  <w:footnote w:id="5">
    <w:p w14:paraId="2D208C16" w14:textId="494EE640" w:rsidR="009B1EF9" w:rsidRPr="00793294" w:rsidRDefault="009B1EF9">
      <w:pPr>
        <w:pStyle w:val="Notedebasdepage"/>
        <w:rPr>
          <w:i/>
          <w:iCs/>
          <w:lang w:val="en-US"/>
        </w:rPr>
      </w:pPr>
      <w:r w:rsidRPr="00922A71">
        <w:rPr>
          <w:rStyle w:val="Appelnotedebasdep"/>
          <w:sz w:val="16"/>
          <w:szCs w:val="16"/>
        </w:rPr>
        <w:footnoteRef/>
      </w:r>
      <w:r w:rsidRPr="00922A71">
        <w:rPr>
          <w:sz w:val="16"/>
          <w:szCs w:val="16"/>
          <w:lang w:val="en-US"/>
        </w:rPr>
        <w:t xml:space="preserve"> </w:t>
      </w:r>
      <w:r w:rsidR="00811557" w:rsidRPr="00793294">
        <w:rPr>
          <w:i/>
          <w:iCs/>
          <w:sz w:val="14"/>
          <w:szCs w:val="14"/>
          <w:lang w:val="en-US"/>
        </w:rPr>
        <w:t>E-Tech</w:t>
      </w:r>
      <w:r w:rsidR="00F5487D" w:rsidRPr="00793294">
        <w:rPr>
          <w:i/>
          <w:iCs/>
          <w:sz w:val="14"/>
          <w:szCs w:val="14"/>
          <w:lang w:val="en-US"/>
        </w:rPr>
        <w:t xml:space="preserve"> </w:t>
      </w:r>
      <w:r w:rsidR="001F2B4F" w:rsidRPr="00793294">
        <w:rPr>
          <w:i/>
          <w:iCs/>
          <w:sz w:val="14"/>
          <w:szCs w:val="14"/>
          <w:lang w:val="en-US"/>
        </w:rPr>
        <w:t>range</w:t>
      </w:r>
      <w:r w:rsidR="00793294" w:rsidRPr="00793294">
        <w:rPr>
          <w:i/>
          <w:iCs/>
          <w:sz w:val="14"/>
          <w:szCs w:val="14"/>
          <w:lang w:val="en-US"/>
        </w:rPr>
        <w:t>:</w:t>
      </w:r>
      <w:r w:rsidR="00811557" w:rsidRPr="00793294">
        <w:rPr>
          <w:i/>
          <w:iCs/>
          <w:sz w:val="14"/>
          <w:szCs w:val="14"/>
          <w:lang w:val="en-US"/>
        </w:rPr>
        <w:t xml:space="preserve"> electric </w:t>
      </w:r>
      <w:r w:rsidR="00165512" w:rsidRPr="00793294">
        <w:rPr>
          <w:i/>
          <w:iCs/>
          <w:sz w:val="14"/>
          <w:szCs w:val="14"/>
          <w:lang w:val="en-US"/>
        </w:rPr>
        <w:t>and hybrid</w:t>
      </w:r>
      <w:r w:rsidR="00F5487D" w:rsidRPr="00793294">
        <w:rPr>
          <w:i/>
          <w:iCs/>
          <w:sz w:val="14"/>
          <w:szCs w:val="14"/>
          <w:lang w:val="en-US"/>
        </w:rPr>
        <w:t xml:space="preserve"> vehicles</w:t>
      </w:r>
    </w:p>
  </w:footnote>
  <w:footnote w:id="6">
    <w:p w14:paraId="71A66649" w14:textId="66CC68BD" w:rsidR="004A7B97" w:rsidRPr="00B157D7" w:rsidRDefault="004A7B97" w:rsidP="004A7B97">
      <w:pPr>
        <w:pStyle w:val="Notedebasdepage"/>
        <w:rPr>
          <w:sz w:val="14"/>
          <w:szCs w:val="14"/>
          <w:lang w:val="en-US"/>
        </w:rPr>
      </w:pPr>
      <w:r w:rsidRPr="00CB2489">
        <w:rPr>
          <w:rStyle w:val="Appelnotedebasdep"/>
          <w:sz w:val="16"/>
          <w:szCs w:val="16"/>
          <w:lang w:val="en"/>
        </w:rPr>
        <w:footnoteRef/>
      </w:r>
      <w:r w:rsidRPr="006559D9">
        <w:rPr>
          <w:i/>
          <w:sz w:val="14"/>
          <w:szCs w:val="14"/>
          <w:vertAlign w:val="superscript"/>
          <w:lang w:val="en"/>
        </w:rPr>
        <w:t xml:space="preserve"> </w:t>
      </w:r>
      <w:r w:rsidRPr="00DA2FDF">
        <w:rPr>
          <w:i/>
          <w:iCs/>
          <w:sz w:val="14"/>
          <w:szCs w:val="14"/>
          <w:lang w:val="en"/>
        </w:rPr>
        <w:t xml:space="preserve">In order to analyze the variation in consolidated revenue at constant exchange rates, Renault Group recalculates the revenue for the current </w:t>
      </w:r>
      <w:r>
        <w:rPr>
          <w:i/>
          <w:iCs/>
          <w:sz w:val="14"/>
          <w:szCs w:val="14"/>
          <w:lang w:val="en"/>
        </w:rPr>
        <w:t>period</w:t>
      </w:r>
      <w:r w:rsidRPr="00DA2FDF">
        <w:rPr>
          <w:i/>
          <w:iCs/>
          <w:sz w:val="14"/>
          <w:szCs w:val="14"/>
          <w:lang w:val="en"/>
        </w:rPr>
        <w:t xml:space="preserve"> by applying average exchange rates of the previous period</w:t>
      </w:r>
    </w:p>
  </w:footnote>
  <w:footnote w:id="7">
    <w:p w14:paraId="1EF8CE9D" w14:textId="4CF8270B" w:rsidR="00CC7472" w:rsidRPr="00CC7472" w:rsidRDefault="00CC7472">
      <w:pPr>
        <w:pStyle w:val="Notedebasdepage"/>
        <w:rPr>
          <w:lang w:val="en-US"/>
        </w:rPr>
      </w:pPr>
      <w:r w:rsidRPr="00CC7472">
        <w:rPr>
          <w:rStyle w:val="Appelnotedebasdep"/>
          <w:sz w:val="16"/>
          <w:szCs w:val="16"/>
        </w:rPr>
        <w:footnoteRef/>
      </w:r>
      <w:r w:rsidRPr="00CC7472">
        <w:rPr>
          <w:sz w:val="16"/>
          <w:szCs w:val="16"/>
          <w:lang w:val="en-US"/>
        </w:rPr>
        <w:t xml:space="preserve"> </w:t>
      </w:r>
      <w:r w:rsidRPr="00DA2FDF">
        <w:rPr>
          <w:i/>
          <w:iCs/>
          <w:sz w:val="14"/>
          <w:szCs w:val="14"/>
          <w:lang w:val="en"/>
        </w:rPr>
        <w:t xml:space="preserve">In order to analyze the variation in consolidated revenue at constant exchange rates, Renault Group recalculates the revenue for the current </w:t>
      </w:r>
      <w:r>
        <w:rPr>
          <w:i/>
          <w:iCs/>
          <w:sz w:val="14"/>
          <w:szCs w:val="14"/>
          <w:lang w:val="en"/>
        </w:rPr>
        <w:t>period</w:t>
      </w:r>
      <w:r w:rsidRPr="00DA2FDF">
        <w:rPr>
          <w:i/>
          <w:iCs/>
          <w:sz w:val="14"/>
          <w:szCs w:val="14"/>
          <w:lang w:val="en"/>
        </w:rPr>
        <w:t xml:space="preserve"> by applying average exchange rates of the previous period</w:t>
      </w:r>
    </w:p>
  </w:footnote>
  <w:footnote w:id="8">
    <w:p w14:paraId="5FF0D873" w14:textId="77777777" w:rsidR="00D30C27" w:rsidRPr="00B157D7" w:rsidRDefault="00D30C27" w:rsidP="00D30C27">
      <w:pPr>
        <w:pStyle w:val="Notedebasdepage"/>
        <w:rPr>
          <w:lang w:val="en-US"/>
        </w:rPr>
      </w:pPr>
      <w:r>
        <w:rPr>
          <w:rStyle w:val="Appelnotedebasdep"/>
          <w:lang w:val="en"/>
        </w:rPr>
        <w:footnoteRef/>
      </w:r>
      <w:r>
        <w:rPr>
          <w:lang w:val="en"/>
        </w:rPr>
        <w:t xml:space="preserve"> </w:t>
      </w:r>
      <w:r w:rsidRPr="00FC45A4">
        <w:rPr>
          <w:i/>
          <w:sz w:val="14"/>
          <w:szCs w:val="14"/>
          <w:lang w:val="en"/>
        </w:rPr>
        <w:t>Automotive operating free cash flow: cash flow after interest and taxes (excluding dividends received from listed companies) less tangible and intangible investments net of disposals +/- change in working capital requirement</w:t>
      </w:r>
    </w:p>
  </w:footnote>
  <w:footnote w:id="9">
    <w:p w14:paraId="5CB37F9C" w14:textId="77777777" w:rsidR="00BE38D6" w:rsidRPr="00B157D7" w:rsidRDefault="00BE38D6" w:rsidP="00BE38D6">
      <w:pPr>
        <w:pStyle w:val="Notedebasdepage"/>
        <w:rPr>
          <w:lang w:val="en-US"/>
        </w:rPr>
      </w:pPr>
      <w:r>
        <w:rPr>
          <w:rStyle w:val="Appelnotedebasdep"/>
          <w:lang w:val="en"/>
        </w:rPr>
        <w:footnoteRef/>
      </w:r>
      <w:r>
        <w:rPr>
          <w:lang w:val="en"/>
        </w:rPr>
        <w:t xml:space="preserve"> </w:t>
      </w:r>
      <w:r w:rsidRPr="001B2973">
        <w:rPr>
          <w:i/>
          <w:sz w:val="14"/>
          <w:szCs w:val="14"/>
          <w:lang w:val="en"/>
        </w:rPr>
        <w:t>The results presented relate to continuing operations</w:t>
      </w:r>
      <w:r>
        <w:rPr>
          <w:i/>
          <w:sz w:val="14"/>
          <w:szCs w:val="14"/>
          <w:lang w:val="en"/>
        </w:rPr>
        <w:t xml:space="preserve"> (excluding Avtovaz and Renault Russia whose disposals were announced on May 16,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ACF" w14:textId="4FF6F1CE" w:rsidR="00555EF3" w:rsidRDefault="00555E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4FA75DE0" w:rsidR="00F22D0C" w:rsidRDefault="00F22D0C" w:rsidP="00F22D0C">
    <w:pPr>
      <w:pStyle w:val="En-tte"/>
      <w:pBdr>
        <w:bottom w:val="single" w:sz="8" w:space="15" w:color="auto"/>
      </w:pBdr>
    </w:pPr>
    <w:r>
      <w:rPr>
        <w:noProof/>
        <w:lang w:eastAsia="fr-FR"/>
      </w:rPr>
      <w:drawing>
        <wp:inline distT="0" distB="0" distL="0" distR="0" wp14:anchorId="2D332B88" wp14:editId="1F19BCCD">
          <wp:extent cx="972000" cy="43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3696BDAA" w:rsidR="00A602D8" w:rsidRDefault="00F22D0C" w:rsidP="00F22D0C">
    <w:pPr>
      <w:pStyle w:val="En-tte"/>
      <w:pBdr>
        <w:bottom w:val="single" w:sz="8" w:space="15" w:color="auto"/>
      </w:pBdr>
    </w:pPr>
    <w:r>
      <w:rPr>
        <w:noProof/>
        <w:lang w:eastAsia="fr-FR"/>
      </w:rPr>
      <w:drawing>
        <wp:inline distT="0" distB="0" distL="0" distR="0" wp14:anchorId="396CC762" wp14:editId="1D29DC4F">
          <wp:extent cx="972000" cy="43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AB4CB"/>
    <w:multiLevelType w:val="hybridMultilevel"/>
    <w:tmpl w:val="37AC5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A0C02"/>
    <w:multiLevelType w:val="multilevel"/>
    <w:tmpl w:val="8F262A72"/>
    <w:lvl w:ilvl="0">
      <w:start w:val="1"/>
      <w:numFmt w:val="bullet"/>
      <w:lvlText w:val=""/>
      <w:lvlJc w:val="left"/>
      <w:pPr>
        <w:ind w:left="284" w:hanging="284"/>
      </w:pPr>
      <w:rPr>
        <w:rFonts w:ascii="Symbol" w:hAnsi="Symbol" w:hint="default"/>
        <w:color w:val="auto"/>
      </w:rPr>
    </w:lvl>
    <w:lvl w:ilvl="1">
      <w:start w:val="1"/>
      <w:numFmt w:val="bullet"/>
      <w:lvlText w:val="•"/>
      <w:lvlJc w:val="left"/>
      <w:pPr>
        <w:ind w:left="1021" w:hanging="170"/>
      </w:pPr>
      <w:rPr>
        <w:rFonts w:ascii="Arial" w:hAnsi="Arial" w:hint="default"/>
        <w:color w:val="auto"/>
      </w:rPr>
    </w:lvl>
    <w:lvl w:ilvl="2">
      <w:start w:val="101"/>
      <w:numFmt w:val="bullet"/>
      <w:lvlText w:val="-"/>
      <w:lvlJc w:val="left"/>
      <w:pPr>
        <w:ind w:left="1080" w:hanging="360"/>
      </w:pPr>
      <w:rPr>
        <w:rFonts w:ascii="Calibri" w:eastAsia="Calibri" w:hAnsi="Calibri" w:cs="Calibri" w:hint="default"/>
      </w:rPr>
    </w:lvl>
    <w:lvl w:ilvl="3">
      <w:start w:val="101"/>
      <w:numFmt w:val="bullet"/>
      <w:lvlText w:val="-"/>
      <w:lvlJc w:val="left"/>
      <w:pPr>
        <w:ind w:left="1440" w:hanging="360"/>
      </w:pPr>
      <w:rPr>
        <w:rFonts w:ascii="Calibri" w:eastAsia="Calibr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037AF8"/>
    <w:multiLevelType w:val="hybridMultilevel"/>
    <w:tmpl w:val="B20E3B00"/>
    <w:lvl w:ilvl="0" w:tplc="5D18D1AE">
      <w:start w:val="2"/>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93E49"/>
    <w:multiLevelType w:val="hybridMultilevel"/>
    <w:tmpl w:val="52BA9D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976114"/>
    <w:multiLevelType w:val="hybridMultilevel"/>
    <w:tmpl w:val="26E21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4564D"/>
    <w:multiLevelType w:val="multilevel"/>
    <w:tmpl w:val="3AE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71C4A"/>
    <w:multiLevelType w:val="hybridMultilevel"/>
    <w:tmpl w:val="EA66D3A2"/>
    <w:lvl w:ilvl="0" w:tplc="04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3CB934E4"/>
    <w:multiLevelType w:val="hybridMultilevel"/>
    <w:tmpl w:val="02EEE430"/>
    <w:lvl w:ilvl="0" w:tplc="C9D0B43E">
      <w:start w:val="1"/>
      <w:numFmt w:val="bullet"/>
      <w:lvlText w:val=""/>
      <w:lvlJc w:val="left"/>
      <w:pPr>
        <w:ind w:left="720" w:hanging="360"/>
      </w:pPr>
      <w:rPr>
        <w:rFonts w:ascii="Symbol" w:hAnsi="Symbol" w:hint="default"/>
      </w:rPr>
    </w:lvl>
    <w:lvl w:ilvl="1" w:tplc="4DF4EB9A">
      <w:start w:val="1"/>
      <w:numFmt w:val="bullet"/>
      <w:lvlText w:val="-"/>
      <w:lvlJc w:val="left"/>
      <w:pPr>
        <w:ind w:left="1440" w:hanging="360"/>
      </w:pPr>
      <w:rPr>
        <w:rFonts w:ascii="Calibri" w:eastAsia="Yu Gothic"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78BCDA"/>
    <w:multiLevelType w:val="hybridMultilevel"/>
    <w:tmpl w:val="ED8C1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51C5520"/>
    <w:multiLevelType w:val="multilevel"/>
    <w:tmpl w:val="96EC4842"/>
    <w:lvl w:ilvl="0">
      <w:start w:val="1"/>
      <w:numFmt w:val="bullet"/>
      <w:lvlText w:val=""/>
      <w:lvlJc w:val="left"/>
      <w:pPr>
        <w:ind w:left="284" w:hanging="284"/>
      </w:pPr>
      <w:rPr>
        <w:rFonts w:ascii="Symbol" w:hAnsi="Symbol" w:hint="default"/>
        <w:color w:val="auto"/>
      </w:rPr>
    </w:lvl>
    <w:lvl w:ilvl="1">
      <w:start w:val="1"/>
      <w:numFmt w:val="bullet"/>
      <w:lvlText w:val="•"/>
      <w:lvlJc w:val="left"/>
      <w:pPr>
        <w:ind w:left="1021" w:hanging="170"/>
      </w:pPr>
      <w:rPr>
        <w:rFonts w:ascii="Arial" w:hAnsi="Arial" w:hint="default"/>
        <w:color w:val="auto"/>
      </w:rPr>
    </w:lvl>
    <w:lvl w:ilvl="2">
      <w:start w:val="1"/>
      <w:numFmt w:val="bullet"/>
      <w:lvlText w:val=""/>
      <w:lvlJc w:val="left"/>
      <w:pPr>
        <w:ind w:left="1080" w:hanging="360"/>
      </w:pPr>
      <w:rPr>
        <w:rFonts w:ascii="Symbol" w:hAnsi="Symbol" w:hint="default"/>
      </w:rPr>
    </w:lvl>
    <w:lvl w:ilvl="3">
      <w:start w:val="101"/>
      <w:numFmt w:val="bullet"/>
      <w:lvlText w:val="-"/>
      <w:lvlJc w:val="left"/>
      <w:pPr>
        <w:ind w:left="1440" w:hanging="360"/>
      </w:pPr>
      <w:rPr>
        <w:rFonts w:ascii="Calibri" w:eastAsia="Calibr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0C18B"/>
    <w:multiLevelType w:val="hybridMultilevel"/>
    <w:tmpl w:val="A0D5A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080D6B"/>
    <w:multiLevelType w:val="multilevel"/>
    <w:tmpl w:val="D3E2FB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6B323B2D"/>
    <w:multiLevelType w:val="hybridMultilevel"/>
    <w:tmpl w:val="B636D5F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4613EC"/>
    <w:multiLevelType w:val="hybridMultilevel"/>
    <w:tmpl w:val="87346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F1C48"/>
    <w:multiLevelType w:val="hybridMultilevel"/>
    <w:tmpl w:val="396AF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6760A2"/>
    <w:multiLevelType w:val="hybridMultilevel"/>
    <w:tmpl w:val="55481E48"/>
    <w:lvl w:ilvl="0" w:tplc="6BBC6A7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7202A3"/>
    <w:multiLevelType w:val="multilevel"/>
    <w:tmpl w:val="981AA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104F64"/>
    <w:multiLevelType w:val="multilevel"/>
    <w:tmpl w:val="D8FCF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04DD1"/>
    <w:multiLevelType w:val="hybridMultilevel"/>
    <w:tmpl w:val="32101274"/>
    <w:lvl w:ilvl="0" w:tplc="97ECAE5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DF7CC1"/>
    <w:multiLevelType w:val="multilevel"/>
    <w:tmpl w:val="A3A2138E"/>
    <w:lvl w:ilvl="0">
      <w:start w:val="1"/>
      <w:numFmt w:val="bullet"/>
      <w:pStyle w:val="RGPuce1"/>
      <w:lvlText w:val=""/>
      <w:lvlJc w:val="left"/>
      <w:pPr>
        <w:ind w:left="568"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1923716">
    <w:abstractNumId w:val="19"/>
  </w:num>
  <w:num w:numId="2" w16cid:durableId="110633021">
    <w:abstractNumId w:val="11"/>
  </w:num>
  <w:num w:numId="3" w16cid:durableId="82772473">
    <w:abstractNumId w:val="14"/>
  </w:num>
  <w:num w:numId="4" w16cid:durableId="2011521912">
    <w:abstractNumId w:val="2"/>
  </w:num>
  <w:num w:numId="5" w16cid:durableId="1026753280">
    <w:abstractNumId w:val="12"/>
  </w:num>
  <w:num w:numId="6" w16cid:durableId="156465207">
    <w:abstractNumId w:val="4"/>
  </w:num>
  <w:num w:numId="7" w16cid:durableId="86923650">
    <w:abstractNumId w:val="19"/>
  </w:num>
  <w:num w:numId="8" w16cid:durableId="1876187872">
    <w:abstractNumId w:val="19"/>
  </w:num>
  <w:num w:numId="9" w16cid:durableId="15032771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660412">
    <w:abstractNumId w:val="19"/>
  </w:num>
  <w:num w:numId="11" w16cid:durableId="1737976743">
    <w:abstractNumId w:val="19"/>
  </w:num>
  <w:num w:numId="12" w16cid:durableId="1769084683">
    <w:abstractNumId w:val="19"/>
  </w:num>
  <w:num w:numId="13" w16cid:durableId="660157450">
    <w:abstractNumId w:val="19"/>
  </w:num>
  <w:num w:numId="14" w16cid:durableId="1696924274">
    <w:abstractNumId w:val="13"/>
  </w:num>
  <w:num w:numId="15" w16cid:durableId="412170507">
    <w:abstractNumId w:val="10"/>
  </w:num>
  <w:num w:numId="16" w16cid:durableId="1780685579">
    <w:abstractNumId w:val="18"/>
  </w:num>
  <w:num w:numId="17" w16cid:durableId="999770151">
    <w:abstractNumId w:val="15"/>
  </w:num>
  <w:num w:numId="18" w16cid:durableId="1383141170">
    <w:abstractNumId w:val="1"/>
  </w:num>
  <w:num w:numId="19" w16cid:durableId="71582723">
    <w:abstractNumId w:val="6"/>
  </w:num>
  <w:num w:numId="20" w16cid:durableId="322704946">
    <w:abstractNumId w:val="5"/>
  </w:num>
  <w:num w:numId="21" w16cid:durableId="1661347228">
    <w:abstractNumId w:val="0"/>
  </w:num>
  <w:num w:numId="22" w16cid:durableId="1512336469">
    <w:abstractNumId w:val="8"/>
  </w:num>
  <w:num w:numId="23" w16cid:durableId="1426267438">
    <w:abstractNumId w:val="3"/>
  </w:num>
  <w:num w:numId="24" w16cid:durableId="1656642006">
    <w:abstractNumId w:val="17"/>
  </w:num>
  <w:num w:numId="25" w16cid:durableId="908003950">
    <w:abstractNumId w:val="7"/>
  </w:num>
  <w:num w:numId="26" w16cid:durableId="635600250">
    <w:abstractNumId w:val="17"/>
  </w:num>
  <w:num w:numId="27" w16cid:durableId="353658835">
    <w:abstractNumId w:val="16"/>
  </w:num>
  <w:num w:numId="28" w16cid:durableId="192237468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0B00"/>
    <w:rsid w:val="00000DD0"/>
    <w:rsid w:val="00000DF6"/>
    <w:rsid w:val="000016C9"/>
    <w:rsid w:val="00002357"/>
    <w:rsid w:val="00002A60"/>
    <w:rsid w:val="00002E1C"/>
    <w:rsid w:val="00002F44"/>
    <w:rsid w:val="00002FFE"/>
    <w:rsid w:val="0000315B"/>
    <w:rsid w:val="00003895"/>
    <w:rsid w:val="00003EB0"/>
    <w:rsid w:val="00003F7D"/>
    <w:rsid w:val="0000447B"/>
    <w:rsid w:val="00005C9B"/>
    <w:rsid w:val="000061C2"/>
    <w:rsid w:val="000064B0"/>
    <w:rsid w:val="0000660E"/>
    <w:rsid w:val="00006682"/>
    <w:rsid w:val="00006B74"/>
    <w:rsid w:val="00006E88"/>
    <w:rsid w:val="00006F5A"/>
    <w:rsid w:val="00007679"/>
    <w:rsid w:val="00010A02"/>
    <w:rsid w:val="00011C67"/>
    <w:rsid w:val="00012BA1"/>
    <w:rsid w:val="00012F65"/>
    <w:rsid w:val="000132AC"/>
    <w:rsid w:val="00013357"/>
    <w:rsid w:val="00013B12"/>
    <w:rsid w:val="00013BBE"/>
    <w:rsid w:val="00014971"/>
    <w:rsid w:val="00014CCF"/>
    <w:rsid w:val="0001524A"/>
    <w:rsid w:val="00015343"/>
    <w:rsid w:val="0001589A"/>
    <w:rsid w:val="0001614C"/>
    <w:rsid w:val="0001623A"/>
    <w:rsid w:val="000167F0"/>
    <w:rsid w:val="00016DA9"/>
    <w:rsid w:val="00017553"/>
    <w:rsid w:val="00021E99"/>
    <w:rsid w:val="00022005"/>
    <w:rsid w:val="0002217E"/>
    <w:rsid w:val="000226E0"/>
    <w:rsid w:val="00022E3B"/>
    <w:rsid w:val="000232DF"/>
    <w:rsid w:val="000234B7"/>
    <w:rsid w:val="000245EC"/>
    <w:rsid w:val="00025F99"/>
    <w:rsid w:val="0002647F"/>
    <w:rsid w:val="0002683C"/>
    <w:rsid w:val="00026883"/>
    <w:rsid w:val="00026928"/>
    <w:rsid w:val="00026DF0"/>
    <w:rsid w:val="0002751B"/>
    <w:rsid w:val="00027AF7"/>
    <w:rsid w:val="0003055A"/>
    <w:rsid w:val="000309E1"/>
    <w:rsid w:val="0003110D"/>
    <w:rsid w:val="0003151A"/>
    <w:rsid w:val="00031B57"/>
    <w:rsid w:val="00031C4A"/>
    <w:rsid w:val="00031C67"/>
    <w:rsid w:val="00032384"/>
    <w:rsid w:val="00032503"/>
    <w:rsid w:val="00032BA9"/>
    <w:rsid w:val="00032CE2"/>
    <w:rsid w:val="00033168"/>
    <w:rsid w:val="0003388B"/>
    <w:rsid w:val="000338FC"/>
    <w:rsid w:val="00034D5B"/>
    <w:rsid w:val="0003513E"/>
    <w:rsid w:val="00036514"/>
    <w:rsid w:val="00036770"/>
    <w:rsid w:val="000373E3"/>
    <w:rsid w:val="00037E3A"/>
    <w:rsid w:val="00037F96"/>
    <w:rsid w:val="0004013F"/>
    <w:rsid w:val="00040A2B"/>
    <w:rsid w:val="00040D7C"/>
    <w:rsid w:val="00041E49"/>
    <w:rsid w:val="000424BB"/>
    <w:rsid w:val="00043073"/>
    <w:rsid w:val="00043121"/>
    <w:rsid w:val="00044CEE"/>
    <w:rsid w:val="0004513F"/>
    <w:rsid w:val="00045665"/>
    <w:rsid w:val="000457ED"/>
    <w:rsid w:val="00045AC5"/>
    <w:rsid w:val="00046106"/>
    <w:rsid w:val="00046113"/>
    <w:rsid w:val="000465BF"/>
    <w:rsid w:val="00046A4F"/>
    <w:rsid w:val="00047CD8"/>
    <w:rsid w:val="00047D06"/>
    <w:rsid w:val="00047F1E"/>
    <w:rsid w:val="0005018E"/>
    <w:rsid w:val="000501F2"/>
    <w:rsid w:val="0005082D"/>
    <w:rsid w:val="00051534"/>
    <w:rsid w:val="00052A37"/>
    <w:rsid w:val="00052ED8"/>
    <w:rsid w:val="00052EF3"/>
    <w:rsid w:val="0005322F"/>
    <w:rsid w:val="00053318"/>
    <w:rsid w:val="00053516"/>
    <w:rsid w:val="00054513"/>
    <w:rsid w:val="00055B28"/>
    <w:rsid w:val="00056880"/>
    <w:rsid w:val="0005719E"/>
    <w:rsid w:val="0005767E"/>
    <w:rsid w:val="0005792D"/>
    <w:rsid w:val="00057DD0"/>
    <w:rsid w:val="00060E3A"/>
    <w:rsid w:val="00062D34"/>
    <w:rsid w:val="000637E7"/>
    <w:rsid w:val="00064375"/>
    <w:rsid w:val="000646FF"/>
    <w:rsid w:val="000658E4"/>
    <w:rsid w:val="00065CA2"/>
    <w:rsid w:val="00066BA7"/>
    <w:rsid w:val="00070054"/>
    <w:rsid w:val="0007011D"/>
    <w:rsid w:val="0007087D"/>
    <w:rsid w:val="00070C42"/>
    <w:rsid w:val="0007139B"/>
    <w:rsid w:val="00071BB9"/>
    <w:rsid w:val="00071F29"/>
    <w:rsid w:val="00072043"/>
    <w:rsid w:val="00073072"/>
    <w:rsid w:val="00073529"/>
    <w:rsid w:val="00073E62"/>
    <w:rsid w:val="000743BE"/>
    <w:rsid w:val="000746F7"/>
    <w:rsid w:val="00074859"/>
    <w:rsid w:val="00075B34"/>
    <w:rsid w:val="00076310"/>
    <w:rsid w:val="000763FA"/>
    <w:rsid w:val="00076C5E"/>
    <w:rsid w:val="00077C35"/>
    <w:rsid w:val="00080424"/>
    <w:rsid w:val="00080AB2"/>
    <w:rsid w:val="00080C73"/>
    <w:rsid w:val="000811CB"/>
    <w:rsid w:val="00081461"/>
    <w:rsid w:val="000814D4"/>
    <w:rsid w:val="00081C55"/>
    <w:rsid w:val="00082AA2"/>
    <w:rsid w:val="00083399"/>
    <w:rsid w:val="000839A2"/>
    <w:rsid w:val="000839D0"/>
    <w:rsid w:val="00083BB4"/>
    <w:rsid w:val="00083BD0"/>
    <w:rsid w:val="00083E89"/>
    <w:rsid w:val="00083FCC"/>
    <w:rsid w:val="00084323"/>
    <w:rsid w:val="00084B70"/>
    <w:rsid w:val="00085590"/>
    <w:rsid w:val="00085808"/>
    <w:rsid w:val="00085BBC"/>
    <w:rsid w:val="00085D8F"/>
    <w:rsid w:val="00086D9D"/>
    <w:rsid w:val="00087514"/>
    <w:rsid w:val="00087566"/>
    <w:rsid w:val="00087AAA"/>
    <w:rsid w:val="00087BE4"/>
    <w:rsid w:val="00087E37"/>
    <w:rsid w:val="00087F9C"/>
    <w:rsid w:val="000914E8"/>
    <w:rsid w:val="00091A4A"/>
    <w:rsid w:val="00091F8C"/>
    <w:rsid w:val="00092682"/>
    <w:rsid w:val="00092B80"/>
    <w:rsid w:val="0009486E"/>
    <w:rsid w:val="00095266"/>
    <w:rsid w:val="00095813"/>
    <w:rsid w:val="00095955"/>
    <w:rsid w:val="00096173"/>
    <w:rsid w:val="00096938"/>
    <w:rsid w:val="00096F09"/>
    <w:rsid w:val="000970C9"/>
    <w:rsid w:val="0009715C"/>
    <w:rsid w:val="00097402"/>
    <w:rsid w:val="00097A5A"/>
    <w:rsid w:val="000A099E"/>
    <w:rsid w:val="000A0B41"/>
    <w:rsid w:val="000A0D35"/>
    <w:rsid w:val="000A1951"/>
    <w:rsid w:val="000A21E3"/>
    <w:rsid w:val="000A25B6"/>
    <w:rsid w:val="000A28C7"/>
    <w:rsid w:val="000A29E1"/>
    <w:rsid w:val="000A2C33"/>
    <w:rsid w:val="000A34C4"/>
    <w:rsid w:val="000A3DDC"/>
    <w:rsid w:val="000A42A8"/>
    <w:rsid w:val="000A45A0"/>
    <w:rsid w:val="000A50DB"/>
    <w:rsid w:val="000A5FC5"/>
    <w:rsid w:val="000A7758"/>
    <w:rsid w:val="000A77FC"/>
    <w:rsid w:val="000B1BA6"/>
    <w:rsid w:val="000B1FF6"/>
    <w:rsid w:val="000B27AB"/>
    <w:rsid w:val="000B29D8"/>
    <w:rsid w:val="000B2FAF"/>
    <w:rsid w:val="000B4B76"/>
    <w:rsid w:val="000B4CAF"/>
    <w:rsid w:val="000B6304"/>
    <w:rsid w:val="000B696D"/>
    <w:rsid w:val="000B6F36"/>
    <w:rsid w:val="000B7204"/>
    <w:rsid w:val="000B7469"/>
    <w:rsid w:val="000B7903"/>
    <w:rsid w:val="000C147D"/>
    <w:rsid w:val="000C14AA"/>
    <w:rsid w:val="000C1633"/>
    <w:rsid w:val="000C1D25"/>
    <w:rsid w:val="000C321F"/>
    <w:rsid w:val="000C35DB"/>
    <w:rsid w:val="000C3601"/>
    <w:rsid w:val="000C45DF"/>
    <w:rsid w:val="000C4702"/>
    <w:rsid w:val="000C5903"/>
    <w:rsid w:val="000C7697"/>
    <w:rsid w:val="000C7FEC"/>
    <w:rsid w:val="000D001E"/>
    <w:rsid w:val="000D0128"/>
    <w:rsid w:val="000D08A3"/>
    <w:rsid w:val="000D0EE1"/>
    <w:rsid w:val="000D0F33"/>
    <w:rsid w:val="000D18BB"/>
    <w:rsid w:val="000D1AE4"/>
    <w:rsid w:val="000D222E"/>
    <w:rsid w:val="000D2815"/>
    <w:rsid w:val="000D299E"/>
    <w:rsid w:val="000D2E5E"/>
    <w:rsid w:val="000D38EA"/>
    <w:rsid w:val="000D3EC2"/>
    <w:rsid w:val="000D3EF8"/>
    <w:rsid w:val="000D3FD9"/>
    <w:rsid w:val="000D409C"/>
    <w:rsid w:val="000D4C36"/>
    <w:rsid w:val="000D4EFD"/>
    <w:rsid w:val="000D51F7"/>
    <w:rsid w:val="000D53C4"/>
    <w:rsid w:val="000D596C"/>
    <w:rsid w:val="000D5A8E"/>
    <w:rsid w:val="000D5B81"/>
    <w:rsid w:val="000D60A9"/>
    <w:rsid w:val="000D7435"/>
    <w:rsid w:val="000E00FD"/>
    <w:rsid w:val="000E01CA"/>
    <w:rsid w:val="000E10BA"/>
    <w:rsid w:val="000E12AB"/>
    <w:rsid w:val="000E1B44"/>
    <w:rsid w:val="000E2044"/>
    <w:rsid w:val="000E2B7C"/>
    <w:rsid w:val="000E5817"/>
    <w:rsid w:val="000E5A34"/>
    <w:rsid w:val="000E61A0"/>
    <w:rsid w:val="000E7283"/>
    <w:rsid w:val="000E7EEC"/>
    <w:rsid w:val="000F16C8"/>
    <w:rsid w:val="000F1DD0"/>
    <w:rsid w:val="000F1E1B"/>
    <w:rsid w:val="000F38CC"/>
    <w:rsid w:val="000F5B65"/>
    <w:rsid w:val="000F5FEF"/>
    <w:rsid w:val="000F60F6"/>
    <w:rsid w:val="000F648B"/>
    <w:rsid w:val="000F67CC"/>
    <w:rsid w:val="000F6ECA"/>
    <w:rsid w:val="000F744C"/>
    <w:rsid w:val="000F74DC"/>
    <w:rsid w:val="000F7B43"/>
    <w:rsid w:val="000F7DA6"/>
    <w:rsid w:val="00101CE5"/>
    <w:rsid w:val="0010289A"/>
    <w:rsid w:val="0010327F"/>
    <w:rsid w:val="001036CD"/>
    <w:rsid w:val="0010528F"/>
    <w:rsid w:val="001058FD"/>
    <w:rsid w:val="00106B90"/>
    <w:rsid w:val="00106B94"/>
    <w:rsid w:val="00107967"/>
    <w:rsid w:val="0011084F"/>
    <w:rsid w:val="00110C41"/>
    <w:rsid w:val="0011144E"/>
    <w:rsid w:val="00113708"/>
    <w:rsid w:val="0011410B"/>
    <w:rsid w:val="00115AB3"/>
    <w:rsid w:val="00115CA6"/>
    <w:rsid w:val="00117A7B"/>
    <w:rsid w:val="001209EC"/>
    <w:rsid w:val="0012113E"/>
    <w:rsid w:val="001211AD"/>
    <w:rsid w:val="001211EE"/>
    <w:rsid w:val="0012139B"/>
    <w:rsid w:val="001213B5"/>
    <w:rsid w:val="00121530"/>
    <w:rsid w:val="001226D7"/>
    <w:rsid w:val="001227D8"/>
    <w:rsid w:val="001229F2"/>
    <w:rsid w:val="00122D4C"/>
    <w:rsid w:val="001230D0"/>
    <w:rsid w:val="001231E2"/>
    <w:rsid w:val="0012363C"/>
    <w:rsid w:val="001249DB"/>
    <w:rsid w:val="00124B30"/>
    <w:rsid w:val="00125DEE"/>
    <w:rsid w:val="00126FC5"/>
    <w:rsid w:val="00130297"/>
    <w:rsid w:val="0013107B"/>
    <w:rsid w:val="001312A8"/>
    <w:rsid w:val="0013162D"/>
    <w:rsid w:val="001317DB"/>
    <w:rsid w:val="00131F13"/>
    <w:rsid w:val="00132015"/>
    <w:rsid w:val="001330EC"/>
    <w:rsid w:val="001334BF"/>
    <w:rsid w:val="001337AF"/>
    <w:rsid w:val="00133A1A"/>
    <w:rsid w:val="00133E32"/>
    <w:rsid w:val="00134130"/>
    <w:rsid w:val="001342B2"/>
    <w:rsid w:val="0013470C"/>
    <w:rsid w:val="00134FA3"/>
    <w:rsid w:val="001354D2"/>
    <w:rsid w:val="00135A7E"/>
    <w:rsid w:val="00135F52"/>
    <w:rsid w:val="00136970"/>
    <w:rsid w:val="00137527"/>
    <w:rsid w:val="00137F3B"/>
    <w:rsid w:val="00140851"/>
    <w:rsid w:val="00141676"/>
    <w:rsid w:val="001419A9"/>
    <w:rsid w:val="001420D7"/>
    <w:rsid w:val="0014222C"/>
    <w:rsid w:val="00142810"/>
    <w:rsid w:val="00142FC5"/>
    <w:rsid w:val="0014350A"/>
    <w:rsid w:val="001435A8"/>
    <w:rsid w:val="001463B4"/>
    <w:rsid w:val="0014675F"/>
    <w:rsid w:val="00147AE5"/>
    <w:rsid w:val="00147B16"/>
    <w:rsid w:val="00147EA4"/>
    <w:rsid w:val="0015131E"/>
    <w:rsid w:val="0015181B"/>
    <w:rsid w:val="00151C8E"/>
    <w:rsid w:val="00152076"/>
    <w:rsid w:val="0015213E"/>
    <w:rsid w:val="001521A6"/>
    <w:rsid w:val="0015272E"/>
    <w:rsid w:val="001528EB"/>
    <w:rsid w:val="00152A99"/>
    <w:rsid w:val="00152E7D"/>
    <w:rsid w:val="00153CE3"/>
    <w:rsid w:val="00153FA2"/>
    <w:rsid w:val="001544A0"/>
    <w:rsid w:val="00155716"/>
    <w:rsid w:val="00156736"/>
    <w:rsid w:val="001575CC"/>
    <w:rsid w:val="00160333"/>
    <w:rsid w:val="001605D8"/>
    <w:rsid w:val="00161732"/>
    <w:rsid w:val="00162026"/>
    <w:rsid w:val="00163164"/>
    <w:rsid w:val="001634E3"/>
    <w:rsid w:val="00163866"/>
    <w:rsid w:val="00164ECF"/>
    <w:rsid w:val="00165512"/>
    <w:rsid w:val="0016575C"/>
    <w:rsid w:val="00165B18"/>
    <w:rsid w:val="00165D7B"/>
    <w:rsid w:val="001660F9"/>
    <w:rsid w:val="001661C7"/>
    <w:rsid w:val="00166B84"/>
    <w:rsid w:val="0016799C"/>
    <w:rsid w:val="00167BE6"/>
    <w:rsid w:val="00170378"/>
    <w:rsid w:val="001706EE"/>
    <w:rsid w:val="00170D64"/>
    <w:rsid w:val="00171302"/>
    <w:rsid w:val="0017157D"/>
    <w:rsid w:val="00171743"/>
    <w:rsid w:val="001721DD"/>
    <w:rsid w:val="00172806"/>
    <w:rsid w:val="0017328B"/>
    <w:rsid w:val="00173783"/>
    <w:rsid w:val="001743A2"/>
    <w:rsid w:val="001753C9"/>
    <w:rsid w:val="00175D96"/>
    <w:rsid w:val="001772B8"/>
    <w:rsid w:val="00177898"/>
    <w:rsid w:val="00177D38"/>
    <w:rsid w:val="00181098"/>
    <w:rsid w:val="001810D5"/>
    <w:rsid w:val="00181180"/>
    <w:rsid w:val="001814C1"/>
    <w:rsid w:val="00181A0A"/>
    <w:rsid w:val="00181C8C"/>
    <w:rsid w:val="0018219C"/>
    <w:rsid w:val="0018271F"/>
    <w:rsid w:val="001829E5"/>
    <w:rsid w:val="0018318E"/>
    <w:rsid w:val="001836FD"/>
    <w:rsid w:val="00184896"/>
    <w:rsid w:val="00184B7D"/>
    <w:rsid w:val="00184ECB"/>
    <w:rsid w:val="0018528C"/>
    <w:rsid w:val="001858CB"/>
    <w:rsid w:val="00186216"/>
    <w:rsid w:val="00186467"/>
    <w:rsid w:val="00186B04"/>
    <w:rsid w:val="00186C3B"/>
    <w:rsid w:val="00186D5C"/>
    <w:rsid w:val="00187F34"/>
    <w:rsid w:val="001915F8"/>
    <w:rsid w:val="001915F9"/>
    <w:rsid w:val="00191BB8"/>
    <w:rsid w:val="00191DBC"/>
    <w:rsid w:val="00191DF0"/>
    <w:rsid w:val="00193220"/>
    <w:rsid w:val="00193275"/>
    <w:rsid w:val="0019368C"/>
    <w:rsid w:val="00193E27"/>
    <w:rsid w:val="00193FE3"/>
    <w:rsid w:val="001946E5"/>
    <w:rsid w:val="00195742"/>
    <w:rsid w:val="00195D39"/>
    <w:rsid w:val="00196BDC"/>
    <w:rsid w:val="00196D42"/>
    <w:rsid w:val="001972CC"/>
    <w:rsid w:val="001A03FB"/>
    <w:rsid w:val="001A0E67"/>
    <w:rsid w:val="001A0F0B"/>
    <w:rsid w:val="001A1302"/>
    <w:rsid w:val="001A1659"/>
    <w:rsid w:val="001A1C3B"/>
    <w:rsid w:val="001A1E33"/>
    <w:rsid w:val="001A2038"/>
    <w:rsid w:val="001A2AC0"/>
    <w:rsid w:val="001A2BA0"/>
    <w:rsid w:val="001A3512"/>
    <w:rsid w:val="001A368D"/>
    <w:rsid w:val="001A47BE"/>
    <w:rsid w:val="001A5378"/>
    <w:rsid w:val="001A6973"/>
    <w:rsid w:val="001A69B4"/>
    <w:rsid w:val="001A6CD5"/>
    <w:rsid w:val="001A774B"/>
    <w:rsid w:val="001B08A8"/>
    <w:rsid w:val="001B107D"/>
    <w:rsid w:val="001B124A"/>
    <w:rsid w:val="001B184C"/>
    <w:rsid w:val="001B1AB1"/>
    <w:rsid w:val="001B1F3F"/>
    <w:rsid w:val="001B216A"/>
    <w:rsid w:val="001B2D9D"/>
    <w:rsid w:val="001B4062"/>
    <w:rsid w:val="001B4D05"/>
    <w:rsid w:val="001B575F"/>
    <w:rsid w:val="001B591C"/>
    <w:rsid w:val="001B6836"/>
    <w:rsid w:val="001B69D4"/>
    <w:rsid w:val="001B6C27"/>
    <w:rsid w:val="001B6CA6"/>
    <w:rsid w:val="001B6DD0"/>
    <w:rsid w:val="001C0423"/>
    <w:rsid w:val="001C0C30"/>
    <w:rsid w:val="001C11A9"/>
    <w:rsid w:val="001C192B"/>
    <w:rsid w:val="001C213B"/>
    <w:rsid w:val="001C3454"/>
    <w:rsid w:val="001C45EC"/>
    <w:rsid w:val="001C492E"/>
    <w:rsid w:val="001C4B21"/>
    <w:rsid w:val="001C513B"/>
    <w:rsid w:val="001C5182"/>
    <w:rsid w:val="001C60C8"/>
    <w:rsid w:val="001C616E"/>
    <w:rsid w:val="001C6836"/>
    <w:rsid w:val="001C6F48"/>
    <w:rsid w:val="001C724B"/>
    <w:rsid w:val="001C793B"/>
    <w:rsid w:val="001D094E"/>
    <w:rsid w:val="001D0B56"/>
    <w:rsid w:val="001D2E9B"/>
    <w:rsid w:val="001D2FF4"/>
    <w:rsid w:val="001D3035"/>
    <w:rsid w:val="001D33AE"/>
    <w:rsid w:val="001D34C8"/>
    <w:rsid w:val="001D3613"/>
    <w:rsid w:val="001D401D"/>
    <w:rsid w:val="001D4328"/>
    <w:rsid w:val="001D49C5"/>
    <w:rsid w:val="001D5B59"/>
    <w:rsid w:val="001D5DF6"/>
    <w:rsid w:val="001D6C2F"/>
    <w:rsid w:val="001D736E"/>
    <w:rsid w:val="001D7A28"/>
    <w:rsid w:val="001D7AA2"/>
    <w:rsid w:val="001D7F86"/>
    <w:rsid w:val="001E0579"/>
    <w:rsid w:val="001E13D2"/>
    <w:rsid w:val="001E193C"/>
    <w:rsid w:val="001E1CD5"/>
    <w:rsid w:val="001E2C0C"/>
    <w:rsid w:val="001E3066"/>
    <w:rsid w:val="001E30EE"/>
    <w:rsid w:val="001E3DDE"/>
    <w:rsid w:val="001E4A2C"/>
    <w:rsid w:val="001E50A8"/>
    <w:rsid w:val="001E62FE"/>
    <w:rsid w:val="001E7800"/>
    <w:rsid w:val="001F0370"/>
    <w:rsid w:val="001F05FE"/>
    <w:rsid w:val="001F0715"/>
    <w:rsid w:val="001F0BE8"/>
    <w:rsid w:val="001F1509"/>
    <w:rsid w:val="001F17CE"/>
    <w:rsid w:val="001F197C"/>
    <w:rsid w:val="001F1D32"/>
    <w:rsid w:val="001F20D4"/>
    <w:rsid w:val="001F212A"/>
    <w:rsid w:val="001F2B4F"/>
    <w:rsid w:val="001F3DFC"/>
    <w:rsid w:val="001F3EAD"/>
    <w:rsid w:val="001F40E2"/>
    <w:rsid w:val="001F47F9"/>
    <w:rsid w:val="001F4D0B"/>
    <w:rsid w:val="001F5115"/>
    <w:rsid w:val="001F5B7F"/>
    <w:rsid w:val="001F6F90"/>
    <w:rsid w:val="001F704B"/>
    <w:rsid w:val="001F7B5D"/>
    <w:rsid w:val="00200D1D"/>
    <w:rsid w:val="002019FC"/>
    <w:rsid w:val="00201F30"/>
    <w:rsid w:val="00202266"/>
    <w:rsid w:val="00202C08"/>
    <w:rsid w:val="00202CAE"/>
    <w:rsid w:val="00202F64"/>
    <w:rsid w:val="002031CD"/>
    <w:rsid w:val="00203427"/>
    <w:rsid w:val="00203599"/>
    <w:rsid w:val="002056B2"/>
    <w:rsid w:val="0020578B"/>
    <w:rsid w:val="00206312"/>
    <w:rsid w:val="00210095"/>
    <w:rsid w:val="00210976"/>
    <w:rsid w:val="00210A1F"/>
    <w:rsid w:val="00210E88"/>
    <w:rsid w:val="00211630"/>
    <w:rsid w:val="00211B15"/>
    <w:rsid w:val="00211BF6"/>
    <w:rsid w:val="00212E58"/>
    <w:rsid w:val="002130CA"/>
    <w:rsid w:val="00213D62"/>
    <w:rsid w:val="00213E12"/>
    <w:rsid w:val="002148B6"/>
    <w:rsid w:val="0021502C"/>
    <w:rsid w:val="00215CB6"/>
    <w:rsid w:val="00216A84"/>
    <w:rsid w:val="00217722"/>
    <w:rsid w:val="002207E0"/>
    <w:rsid w:val="002209DE"/>
    <w:rsid w:val="0022159C"/>
    <w:rsid w:val="00221E91"/>
    <w:rsid w:val="002220E8"/>
    <w:rsid w:val="002235CE"/>
    <w:rsid w:val="00223D85"/>
    <w:rsid w:val="00224D7F"/>
    <w:rsid w:val="00224E1C"/>
    <w:rsid w:val="00225329"/>
    <w:rsid w:val="00225EDB"/>
    <w:rsid w:val="002266F7"/>
    <w:rsid w:val="00230A53"/>
    <w:rsid w:val="00230AEE"/>
    <w:rsid w:val="00230D3B"/>
    <w:rsid w:val="002313E3"/>
    <w:rsid w:val="002314DF"/>
    <w:rsid w:val="00232015"/>
    <w:rsid w:val="002326E3"/>
    <w:rsid w:val="00232894"/>
    <w:rsid w:val="00232B1E"/>
    <w:rsid w:val="00233353"/>
    <w:rsid w:val="0023349E"/>
    <w:rsid w:val="00233537"/>
    <w:rsid w:val="00233EF9"/>
    <w:rsid w:val="002342EC"/>
    <w:rsid w:val="0023439F"/>
    <w:rsid w:val="0023451A"/>
    <w:rsid w:val="00234649"/>
    <w:rsid w:val="0023465B"/>
    <w:rsid w:val="00234879"/>
    <w:rsid w:val="002350A2"/>
    <w:rsid w:val="00235BB4"/>
    <w:rsid w:val="002365E7"/>
    <w:rsid w:val="00236E77"/>
    <w:rsid w:val="00237C5C"/>
    <w:rsid w:val="002401A8"/>
    <w:rsid w:val="002410EB"/>
    <w:rsid w:val="00241134"/>
    <w:rsid w:val="00241172"/>
    <w:rsid w:val="00241200"/>
    <w:rsid w:val="002413ED"/>
    <w:rsid w:val="002414DE"/>
    <w:rsid w:val="00241A03"/>
    <w:rsid w:val="00241D17"/>
    <w:rsid w:val="002441E9"/>
    <w:rsid w:val="002447E9"/>
    <w:rsid w:val="00244B5E"/>
    <w:rsid w:val="00245038"/>
    <w:rsid w:val="0024559F"/>
    <w:rsid w:val="002455A6"/>
    <w:rsid w:val="00245980"/>
    <w:rsid w:val="002459B9"/>
    <w:rsid w:val="00245D04"/>
    <w:rsid w:val="002460DC"/>
    <w:rsid w:val="002462B3"/>
    <w:rsid w:val="00246342"/>
    <w:rsid w:val="00246356"/>
    <w:rsid w:val="002464F4"/>
    <w:rsid w:val="0025141A"/>
    <w:rsid w:val="00251A7E"/>
    <w:rsid w:val="002522FD"/>
    <w:rsid w:val="0025291C"/>
    <w:rsid w:val="00252BE4"/>
    <w:rsid w:val="00253108"/>
    <w:rsid w:val="002531C3"/>
    <w:rsid w:val="002537B6"/>
    <w:rsid w:val="00253DAC"/>
    <w:rsid w:val="002542F9"/>
    <w:rsid w:val="00254828"/>
    <w:rsid w:val="0025509D"/>
    <w:rsid w:val="002554C1"/>
    <w:rsid w:val="00255912"/>
    <w:rsid w:val="0025594A"/>
    <w:rsid w:val="00255B15"/>
    <w:rsid w:val="002560F4"/>
    <w:rsid w:val="002565F8"/>
    <w:rsid w:val="00256B8B"/>
    <w:rsid w:val="00256CCC"/>
    <w:rsid w:val="0025719B"/>
    <w:rsid w:val="00261B3A"/>
    <w:rsid w:val="00261E19"/>
    <w:rsid w:val="002621DB"/>
    <w:rsid w:val="00262C28"/>
    <w:rsid w:val="00262C31"/>
    <w:rsid w:val="002647B2"/>
    <w:rsid w:val="00266711"/>
    <w:rsid w:val="002668F4"/>
    <w:rsid w:val="0026732E"/>
    <w:rsid w:val="0026790C"/>
    <w:rsid w:val="00270CA4"/>
    <w:rsid w:val="00270D36"/>
    <w:rsid w:val="00270ECC"/>
    <w:rsid w:val="00271F59"/>
    <w:rsid w:val="002725C0"/>
    <w:rsid w:val="0027265B"/>
    <w:rsid w:val="002739DD"/>
    <w:rsid w:val="00275936"/>
    <w:rsid w:val="0027685A"/>
    <w:rsid w:val="00277039"/>
    <w:rsid w:val="00277255"/>
    <w:rsid w:val="002807EC"/>
    <w:rsid w:val="002815EF"/>
    <w:rsid w:val="00281FE9"/>
    <w:rsid w:val="0028222A"/>
    <w:rsid w:val="00283286"/>
    <w:rsid w:val="002836DD"/>
    <w:rsid w:val="00285DC9"/>
    <w:rsid w:val="00285F18"/>
    <w:rsid w:val="00286253"/>
    <w:rsid w:val="00286538"/>
    <w:rsid w:val="00286704"/>
    <w:rsid w:val="00287354"/>
    <w:rsid w:val="00287A71"/>
    <w:rsid w:val="00287B03"/>
    <w:rsid w:val="00290273"/>
    <w:rsid w:val="002907DD"/>
    <w:rsid w:val="00291C74"/>
    <w:rsid w:val="00291EF1"/>
    <w:rsid w:val="00292899"/>
    <w:rsid w:val="00292BEF"/>
    <w:rsid w:val="00292CAB"/>
    <w:rsid w:val="00293778"/>
    <w:rsid w:val="00293E0C"/>
    <w:rsid w:val="00294542"/>
    <w:rsid w:val="00294795"/>
    <w:rsid w:val="0029552C"/>
    <w:rsid w:val="00295A5B"/>
    <w:rsid w:val="00295CB0"/>
    <w:rsid w:val="00295E40"/>
    <w:rsid w:val="002963FE"/>
    <w:rsid w:val="00297550"/>
    <w:rsid w:val="002A012A"/>
    <w:rsid w:val="002A020D"/>
    <w:rsid w:val="002A0372"/>
    <w:rsid w:val="002A05F9"/>
    <w:rsid w:val="002A0925"/>
    <w:rsid w:val="002A0E00"/>
    <w:rsid w:val="002A12EF"/>
    <w:rsid w:val="002A1375"/>
    <w:rsid w:val="002A1737"/>
    <w:rsid w:val="002A1783"/>
    <w:rsid w:val="002A1A22"/>
    <w:rsid w:val="002A1BB1"/>
    <w:rsid w:val="002A243E"/>
    <w:rsid w:val="002A31D3"/>
    <w:rsid w:val="002A3AB1"/>
    <w:rsid w:val="002A4A26"/>
    <w:rsid w:val="002A4B49"/>
    <w:rsid w:val="002A4BEE"/>
    <w:rsid w:val="002A4E1C"/>
    <w:rsid w:val="002A5691"/>
    <w:rsid w:val="002A628B"/>
    <w:rsid w:val="002A6302"/>
    <w:rsid w:val="002A66CA"/>
    <w:rsid w:val="002A66D4"/>
    <w:rsid w:val="002A69CB"/>
    <w:rsid w:val="002A7226"/>
    <w:rsid w:val="002A7553"/>
    <w:rsid w:val="002A76EE"/>
    <w:rsid w:val="002A7DAB"/>
    <w:rsid w:val="002B0F85"/>
    <w:rsid w:val="002B1353"/>
    <w:rsid w:val="002B2256"/>
    <w:rsid w:val="002B30B7"/>
    <w:rsid w:val="002B3B06"/>
    <w:rsid w:val="002B4112"/>
    <w:rsid w:val="002B41D7"/>
    <w:rsid w:val="002B4A63"/>
    <w:rsid w:val="002B4F54"/>
    <w:rsid w:val="002B5AE1"/>
    <w:rsid w:val="002B5FDD"/>
    <w:rsid w:val="002B7303"/>
    <w:rsid w:val="002B7340"/>
    <w:rsid w:val="002C0000"/>
    <w:rsid w:val="002C03A7"/>
    <w:rsid w:val="002C0A37"/>
    <w:rsid w:val="002C0D69"/>
    <w:rsid w:val="002C0DA3"/>
    <w:rsid w:val="002C0EC0"/>
    <w:rsid w:val="002C1D26"/>
    <w:rsid w:val="002C25C9"/>
    <w:rsid w:val="002C318C"/>
    <w:rsid w:val="002C3684"/>
    <w:rsid w:val="002C3EAF"/>
    <w:rsid w:val="002C41F6"/>
    <w:rsid w:val="002C43DF"/>
    <w:rsid w:val="002C4967"/>
    <w:rsid w:val="002C4A81"/>
    <w:rsid w:val="002C4FB1"/>
    <w:rsid w:val="002C508D"/>
    <w:rsid w:val="002C547E"/>
    <w:rsid w:val="002C5502"/>
    <w:rsid w:val="002C5B84"/>
    <w:rsid w:val="002C5C9F"/>
    <w:rsid w:val="002C625C"/>
    <w:rsid w:val="002C6900"/>
    <w:rsid w:val="002C726B"/>
    <w:rsid w:val="002C7861"/>
    <w:rsid w:val="002C7B01"/>
    <w:rsid w:val="002D0535"/>
    <w:rsid w:val="002D0DBF"/>
    <w:rsid w:val="002D132A"/>
    <w:rsid w:val="002D1446"/>
    <w:rsid w:val="002D1920"/>
    <w:rsid w:val="002D32FF"/>
    <w:rsid w:val="002D3541"/>
    <w:rsid w:val="002D354E"/>
    <w:rsid w:val="002D372B"/>
    <w:rsid w:val="002D3B96"/>
    <w:rsid w:val="002D3ED5"/>
    <w:rsid w:val="002D4098"/>
    <w:rsid w:val="002D4231"/>
    <w:rsid w:val="002D4317"/>
    <w:rsid w:val="002D45CC"/>
    <w:rsid w:val="002D4DFD"/>
    <w:rsid w:val="002D545A"/>
    <w:rsid w:val="002D6209"/>
    <w:rsid w:val="002D646F"/>
    <w:rsid w:val="002D66E5"/>
    <w:rsid w:val="002E16FD"/>
    <w:rsid w:val="002E1A83"/>
    <w:rsid w:val="002E2128"/>
    <w:rsid w:val="002E285E"/>
    <w:rsid w:val="002E290D"/>
    <w:rsid w:val="002E2B0A"/>
    <w:rsid w:val="002E2C95"/>
    <w:rsid w:val="002E2D55"/>
    <w:rsid w:val="002E2E49"/>
    <w:rsid w:val="002E4101"/>
    <w:rsid w:val="002E48FC"/>
    <w:rsid w:val="002E4A59"/>
    <w:rsid w:val="002E4D62"/>
    <w:rsid w:val="002E5087"/>
    <w:rsid w:val="002E6019"/>
    <w:rsid w:val="002E6358"/>
    <w:rsid w:val="002E66B2"/>
    <w:rsid w:val="002E6878"/>
    <w:rsid w:val="002E7D97"/>
    <w:rsid w:val="002E7FC7"/>
    <w:rsid w:val="002F056F"/>
    <w:rsid w:val="002F0E11"/>
    <w:rsid w:val="002F1E5F"/>
    <w:rsid w:val="002F20B7"/>
    <w:rsid w:val="002F2456"/>
    <w:rsid w:val="002F2C38"/>
    <w:rsid w:val="002F2D07"/>
    <w:rsid w:val="002F32D0"/>
    <w:rsid w:val="002F3501"/>
    <w:rsid w:val="002F386C"/>
    <w:rsid w:val="002F402B"/>
    <w:rsid w:val="002F429E"/>
    <w:rsid w:val="002F4A7D"/>
    <w:rsid w:val="002F52A5"/>
    <w:rsid w:val="002F6125"/>
    <w:rsid w:val="002F6604"/>
    <w:rsid w:val="002F6EE1"/>
    <w:rsid w:val="002F78B7"/>
    <w:rsid w:val="002F7A5E"/>
    <w:rsid w:val="0030025B"/>
    <w:rsid w:val="0030113F"/>
    <w:rsid w:val="003013CF"/>
    <w:rsid w:val="003014C7"/>
    <w:rsid w:val="003025B2"/>
    <w:rsid w:val="0030297F"/>
    <w:rsid w:val="00302BB9"/>
    <w:rsid w:val="00304DD0"/>
    <w:rsid w:val="00305585"/>
    <w:rsid w:val="003056A0"/>
    <w:rsid w:val="00305ADC"/>
    <w:rsid w:val="003070F6"/>
    <w:rsid w:val="00307A6A"/>
    <w:rsid w:val="00307F4F"/>
    <w:rsid w:val="00310B46"/>
    <w:rsid w:val="00310BD6"/>
    <w:rsid w:val="00310C1B"/>
    <w:rsid w:val="00311709"/>
    <w:rsid w:val="00312006"/>
    <w:rsid w:val="0031396D"/>
    <w:rsid w:val="00313C00"/>
    <w:rsid w:val="00314930"/>
    <w:rsid w:val="00314DC9"/>
    <w:rsid w:val="0031557A"/>
    <w:rsid w:val="003156B1"/>
    <w:rsid w:val="003160E0"/>
    <w:rsid w:val="003161C7"/>
    <w:rsid w:val="00316C1C"/>
    <w:rsid w:val="0031787F"/>
    <w:rsid w:val="00320B4E"/>
    <w:rsid w:val="00321375"/>
    <w:rsid w:val="00321C54"/>
    <w:rsid w:val="003220D8"/>
    <w:rsid w:val="00322635"/>
    <w:rsid w:val="003227AE"/>
    <w:rsid w:val="00322ABB"/>
    <w:rsid w:val="00322BD9"/>
    <w:rsid w:val="003230E9"/>
    <w:rsid w:val="00323951"/>
    <w:rsid w:val="00323F42"/>
    <w:rsid w:val="00324C4A"/>
    <w:rsid w:val="00324C52"/>
    <w:rsid w:val="00324D54"/>
    <w:rsid w:val="00324F5D"/>
    <w:rsid w:val="00325831"/>
    <w:rsid w:val="00325F79"/>
    <w:rsid w:val="00326184"/>
    <w:rsid w:val="003266AE"/>
    <w:rsid w:val="0032688C"/>
    <w:rsid w:val="00327697"/>
    <w:rsid w:val="00327B9A"/>
    <w:rsid w:val="0033150C"/>
    <w:rsid w:val="00332677"/>
    <w:rsid w:val="003326FF"/>
    <w:rsid w:val="00332BA3"/>
    <w:rsid w:val="00332BFD"/>
    <w:rsid w:val="00333020"/>
    <w:rsid w:val="0033314F"/>
    <w:rsid w:val="0033398F"/>
    <w:rsid w:val="00334883"/>
    <w:rsid w:val="00335A54"/>
    <w:rsid w:val="0033775D"/>
    <w:rsid w:val="00337CD6"/>
    <w:rsid w:val="00340434"/>
    <w:rsid w:val="00340499"/>
    <w:rsid w:val="0034053C"/>
    <w:rsid w:val="003410F1"/>
    <w:rsid w:val="00341307"/>
    <w:rsid w:val="003417A2"/>
    <w:rsid w:val="00341E21"/>
    <w:rsid w:val="0034241E"/>
    <w:rsid w:val="00342C73"/>
    <w:rsid w:val="00342C80"/>
    <w:rsid w:val="00342D13"/>
    <w:rsid w:val="0034339B"/>
    <w:rsid w:val="0034480D"/>
    <w:rsid w:val="00344CE0"/>
    <w:rsid w:val="00345719"/>
    <w:rsid w:val="00345E8B"/>
    <w:rsid w:val="003500A2"/>
    <w:rsid w:val="0035043B"/>
    <w:rsid w:val="00350BE7"/>
    <w:rsid w:val="00350CD2"/>
    <w:rsid w:val="00351C76"/>
    <w:rsid w:val="00351FE4"/>
    <w:rsid w:val="0035213E"/>
    <w:rsid w:val="00352845"/>
    <w:rsid w:val="00352B02"/>
    <w:rsid w:val="00352FBF"/>
    <w:rsid w:val="0035401D"/>
    <w:rsid w:val="00354116"/>
    <w:rsid w:val="0035543B"/>
    <w:rsid w:val="00355DE1"/>
    <w:rsid w:val="00355F58"/>
    <w:rsid w:val="0035604A"/>
    <w:rsid w:val="003566C3"/>
    <w:rsid w:val="0035695B"/>
    <w:rsid w:val="00356AAA"/>
    <w:rsid w:val="00356BF0"/>
    <w:rsid w:val="00357212"/>
    <w:rsid w:val="00357E13"/>
    <w:rsid w:val="00357FA2"/>
    <w:rsid w:val="00360BB1"/>
    <w:rsid w:val="00360D15"/>
    <w:rsid w:val="00361032"/>
    <w:rsid w:val="00361718"/>
    <w:rsid w:val="00361CD4"/>
    <w:rsid w:val="00361E73"/>
    <w:rsid w:val="003623FF"/>
    <w:rsid w:val="00362A6E"/>
    <w:rsid w:val="003632BE"/>
    <w:rsid w:val="00363856"/>
    <w:rsid w:val="00363D78"/>
    <w:rsid w:val="00364142"/>
    <w:rsid w:val="003644F9"/>
    <w:rsid w:val="00364526"/>
    <w:rsid w:val="003647B3"/>
    <w:rsid w:val="003649A6"/>
    <w:rsid w:val="003650BF"/>
    <w:rsid w:val="003651B0"/>
    <w:rsid w:val="00365A7F"/>
    <w:rsid w:val="00366A36"/>
    <w:rsid w:val="00367593"/>
    <w:rsid w:val="00367654"/>
    <w:rsid w:val="0036765E"/>
    <w:rsid w:val="00370891"/>
    <w:rsid w:val="00370A23"/>
    <w:rsid w:val="00370C03"/>
    <w:rsid w:val="0037113B"/>
    <w:rsid w:val="00372B8E"/>
    <w:rsid w:val="003730E3"/>
    <w:rsid w:val="0037369A"/>
    <w:rsid w:val="003746BF"/>
    <w:rsid w:val="003748B5"/>
    <w:rsid w:val="00374B3F"/>
    <w:rsid w:val="00375135"/>
    <w:rsid w:val="003754DA"/>
    <w:rsid w:val="003755A6"/>
    <w:rsid w:val="00375B78"/>
    <w:rsid w:val="003762AB"/>
    <w:rsid w:val="0037675A"/>
    <w:rsid w:val="003808E5"/>
    <w:rsid w:val="00380C3B"/>
    <w:rsid w:val="00380C70"/>
    <w:rsid w:val="00382024"/>
    <w:rsid w:val="00382153"/>
    <w:rsid w:val="003836CD"/>
    <w:rsid w:val="003837B8"/>
    <w:rsid w:val="00383B0A"/>
    <w:rsid w:val="00383F19"/>
    <w:rsid w:val="00385098"/>
    <w:rsid w:val="00385598"/>
    <w:rsid w:val="003864AD"/>
    <w:rsid w:val="00387CCE"/>
    <w:rsid w:val="00390850"/>
    <w:rsid w:val="00391076"/>
    <w:rsid w:val="00391442"/>
    <w:rsid w:val="0039150E"/>
    <w:rsid w:val="00391536"/>
    <w:rsid w:val="003917BA"/>
    <w:rsid w:val="003918EE"/>
    <w:rsid w:val="0039207B"/>
    <w:rsid w:val="003920FB"/>
    <w:rsid w:val="0039267E"/>
    <w:rsid w:val="00392D9F"/>
    <w:rsid w:val="00393D68"/>
    <w:rsid w:val="00394071"/>
    <w:rsid w:val="00394812"/>
    <w:rsid w:val="00395CE4"/>
    <w:rsid w:val="00395DC3"/>
    <w:rsid w:val="00397101"/>
    <w:rsid w:val="00397119"/>
    <w:rsid w:val="0039766D"/>
    <w:rsid w:val="00397685"/>
    <w:rsid w:val="00397791"/>
    <w:rsid w:val="00397D2C"/>
    <w:rsid w:val="00397DC3"/>
    <w:rsid w:val="00397F7D"/>
    <w:rsid w:val="003A076B"/>
    <w:rsid w:val="003A1145"/>
    <w:rsid w:val="003A11C7"/>
    <w:rsid w:val="003A12EE"/>
    <w:rsid w:val="003A19D2"/>
    <w:rsid w:val="003A1A2D"/>
    <w:rsid w:val="003A1C97"/>
    <w:rsid w:val="003A25B5"/>
    <w:rsid w:val="003A36D0"/>
    <w:rsid w:val="003A37FC"/>
    <w:rsid w:val="003A4290"/>
    <w:rsid w:val="003A4411"/>
    <w:rsid w:val="003A5298"/>
    <w:rsid w:val="003A664D"/>
    <w:rsid w:val="003A6CC9"/>
    <w:rsid w:val="003A6F04"/>
    <w:rsid w:val="003A76D6"/>
    <w:rsid w:val="003A7751"/>
    <w:rsid w:val="003B0205"/>
    <w:rsid w:val="003B1846"/>
    <w:rsid w:val="003B19AB"/>
    <w:rsid w:val="003B1C8E"/>
    <w:rsid w:val="003B1F1D"/>
    <w:rsid w:val="003B2005"/>
    <w:rsid w:val="003B2231"/>
    <w:rsid w:val="003B367C"/>
    <w:rsid w:val="003B3F7C"/>
    <w:rsid w:val="003B437A"/>
    <w:rsid w:val="003B4F84"/>
    <w:rsid w:val="003B5562"/>
    <w:rsid w:val="003B5928"/>
    <w:rsid w:val="003B6317"/>
    <w:rsid w:val="003B6B45"/>
    <w:rsid w:val="003B6ED5"/>
    <w:rsid w:val="003B77E2"/>
    <w:rsid w:val="003C026E"/>
    <w:rsid w:val="003C1B03"/>
    <w:rsid w:val="003C2877"/>
    <w:rsid w:val="003C3182"/>
    <w:rsid w:val="003C3253"/>
    <w:rsid w:val="003C34E1"/>
    <w:rsid w:val="003C431B"/>
    <w:rsid w:val="003C4500"/>
    <w:rsid w:val="003C4574"/>
    <w:rsid w:val="003C4886"/>
    <w:rsid w:val="003C5138"/>
    <w:rsid w:val="003C5656"/>
    <w:rsid w:val="003C591F"/>
    <w:rsid w:val="003C5D9E"/>
    <w:rsid w:val="003C6158"/>
    <w:rsid w:val="003C6882"/>
    <w:rsid w:val="003C6B37"/>
    <w:rsid w:val="003C6BA3"/>
    <w:rsid w:val="003C77D6"/>
    <w:rsid w:val="003C78D5"/>
    <w:rsid w:val="003C7C40"/>
    <w:rsid w:val="003D02B3"/>
    <w:rsid w:val="003D09F8"/>
    <w:rsid w:val="003D1329"/>
    <w:rsid w:val="003D1AA5"/>
    <w:rsid w:val="003D30BC"/>
    <w:rsid w:val="003D3261"/>
    <w:rsid w:val="003D38A0"/>
    <w:rsid w:val="003D3AB1"/>
    <w:rsid w:val="003D3F73"/>
    <w:rsid w:val="003D422B"/>
    <w:rsid w:val="003D4D16"/>
    <w:rsid w:val="003D5BDC"/>
    <w:rsid w:val="003D63C5"/>
    <w:rsid w:val="003D6782"/>
    <w:rsid w:val="003D67EE"/>
    <w:rsid w:val="003D6BA5"/>
    <w:rsid w:val="003D74AC"/>
    <w:rsid w:val="003E00DD"/>
    <w:rsid w:val="003E0336"/>
    <w:rsid w:val="003E04BA"/>
    <w:rsid w:val="003E0869"/>
    <w:rsid w:val="003E1757"/>
    <w:rsid w:val="003E30D7"/>
    <w:rsid w:val="003E3780"/>
    <w:rsid w:val="003E3CCC"/>
    <w:rsid w:val="003E4670"/>
    <w:rsid w:val="003E4829"/>
    <w:rsid w:val="003E68CC"/>
    <w:rsid w:val="003E6BF7"/>
    <w:rsid w:val="003E6C27"/>
    <w:rsid w:val="003E6E90"/>
    <w:rsid w:val="003E720B"/>
    <w:rsid w:val="003E740E"/>
    <w:rsid w:val="003E7C8E"/>
    <w:rsid w:val="003E7E9A"/>
    <w:rsid w:val="003F0690"/>
    <w:rsid w:val="003F0913"/>
    <w:rsid w:val="003F0AE9"/>
    <w:rsid w:val="003F126A"/>
    <w:rsid w:val="003F210F"/>
    <w:rsid w:val="003F2543"/>
    <w:rsid w:val="003F2775"/>
    <w:rsid w:val="003F2D47"/>
    <w:rsid w:val="003F476F"/>
    <w:rsid w:val="003F4BEC"/>
    <w:rsid w:val="003F5744"/>
    <w:rsid w:val="003F762D"/>
    <w:rsid w:val="003F7765"/>
    <w:rsid w:val="00400466"/>
    <w:rsid w:val="00400B4C"/>
    <w:rsid w:val="00402262"/>
    <w:rsid w:val="004022B4"/>
    <w:rsid w:val="00402346"/>
    <w:rsid w:val="00402433"/>
    <w:rsid w:val="00402693"/>
    <w:rsid w:val="00402965"/>
    <w:rsid w:val="00402D99"/>
    <w:rsid w:val="0040396E"/>
    <w:rsid w:val="004040EB"/>
    <w:rsid w:val="00404388"/>
    <w:rsid w:val="00404FBC"/>
    <w:rsid w:val="00405055"/>
    <w:rsid w:val="0040516B"/>
    <w:rsid w:val="0040522F"/>
    <w:rsid w:val="00405B18"/>
    <w:rsid w:val="00406229"/>
    <w:rsid w:val="004065F0"/>
    <w:rsid w:val="004074BF"/>
    <w:rsid w:val="0040763C"/>
    <w:rsid w:val="00407C93"/>
    <w:rsid w:val="00407F0F"/>
    <w:rsid w:val="004103B0"/>
    <w:rsid w:val="0041106D"/>
    <w:rsid w:val="0041124D"/>
    <w:rsid w:val="00411FA2"/>
    <w:rsid w:val="004127B3"/>
    <w:rsid w:val="0041289A"/>
    <w:rsid w:val="004129C0"/>
    <w:rsid w:val="004129C2"/>
    <w:rsid w:val="0041307D"/>
    <w:rsid w:val="004153A6"/>
    <w:rsid w:val="004155DB"/>
    <w:rsid w:val="004156CF"/>
    <w:rsid w:val="0041571E"/>
    <w:rsid w:val="00415743"/>
    <w:rsid w:val="00415862"/>
    <w:rsid w:val="00416C0B"/>
    <w:rsid w:val="004175F8"/>
    <w:rsid w:val="00417E07"/>
    <w:rsid w:val="00420607"/>
    <w:rsid w:val="00422811"/>
    <w:rsid w:val="00422C5C"/>
    <w:rsid w:val="00423CC1"/>
    <w:rsid w:val="004245B8"/>
    <w:rsid w:val="00425677"/>
    <w:rsid w:val="00425C19"/>
    <w:rsid w:val="0042672D"/>
    <w:rsid w:val="004268BC"/>
    <w:rsid w:val="00426E16"/>
    <w:rsid w:val="00427318"/>
    <w:rsid w:val="00427595"/>
    <w:rsid w:val="00427A42"/>
    <w:rsid w:val="004303C6"/>
    <w:rsid w:val="0043051B"/>
    <w:rsid w:val="00430898"/>
    <w:rsid w:val="004310AB"/>
    <w:rsid w:val="00431EB6"/>
    <w:rsid w:val="0043215E"/>
    <w:rsid w:val="0043389E"/>
    <w:rsid w:val="00433EDD"/>
    <w:rsid w:val="004342FE"/>
    <w:rsid w:val="00434302"/>
    <w:rsid w:val="0043439B"/>
    <w:rsid w:val="00434DFE"/>
    <w:rsid w:val="004350AC"/>
    <w:rsid w:val="00435A90"/>
    <w:rsid w:val="00435C9E"/>
    <w:rsid w:val="00435D0A"/>
    <w:rsid w:val="00436944"/>
    <w:rsid w:val="00440622"/>
    <w:rsid w:val="004409F2"/>
    <w:rsid w:val="00441BF7"/>
    <w:rsid w:val="004420FB"/>
    <w:rsid w:val="0044219E"/>
    <w:rsid w:val="0044356B"/>
    <w:rsid w:val="004435DC"/>
    <w:rsid w:val="004437B7"/>
    <w:rsid w:val="004446E7"/>
    <w:rsid w:val="00444B31"/>
    <w:rsid w:val="00444E90"/>
    <w:rsid w:val="00444F2A"/>
    <w:rsid w:val="0044538D"/>
    <w:rsid w:val="00445B8B"/>
    <w:rsid w:val="00445BF1"/>
    <w:rsid w:val="00445EFE"/>
    <w:rsid w:val="00445F72"/>
    <w:rsid w:val="004473C4"/>
    <w:rsid w:val="0044772C"/>
    <w:rsid w:val="00447C17"/>
    <w:rsid w:val="004511AA"/>
    <w:rsid w:val="00451345"/>
    <w:rsid w:val="0045153E"/>
    <w:rsid w:val="004515A1"/>
    <w:rsid w:val="0045178A"/>
    <w:rsid w:val="0045216F"/>
    <w:rsid w:val="004523AB"/>
    <w:rsid w:val="0045240A"/>
    <w:rsid w:val="00452761"/>
    <w:rsid w:val="00452A52"/>
    <w:rsid w:val="004540ED"/>
    <w:rsid w:val="00454CD3"/>
    <w:rsid w:val="00455052"/>
    <w:rsid w:val="00455EA2"/>
    <w:rsid w:val="004566FC"/>
    <w:rsid w:val="00456A0F"/>
    <w:rsid w:val="00457312"/>
    <w:rsid w:val="00460D78"/>
    <w:rsid w:val="0046176B"/>
    <w:rsid w:val="00461AAA"/>
    <w:rsid w:val="004622CC"/>
    <w:rsid w:val="004629A0"/>
    <w:rsid w:val="00462C67"/>
    <w:rsid w:val="0046357B"/>
    <w:rsid w:val="0046375C"/>
    <w:rsid w:val="00463BFA"/>
    <w:rsid w:val="00464312"/>
    <w:rsid w:val="00464719"/>
    <w:rsid w:val="00464C73"/>
    <w:rsid w:val="00464FC1"/>
    <w:rsid w:val="00465760"/>
    <w:rsid w:val="00465AEA"/>
    <w:rsid w:val="0046626B"/>
    <w:rsid w:val="00466D17"/>
    <w:rsid w:val="00467D88"/>
    <w:rsid w:val="00467EA7"/>
    <w:rsid w:val="00467F1A"/>
    <w:rsid w:val="00470AA0"/>
    <w:rsid w:val="00471797"/>
    <w:rsid w:val="00471869"/>
    <w:rsid w:val="004726DE"/>
    <w:rsid w:val="00472FAE"/>
    <w:rsid w:val="004731E9"/>
    <w:rsid w:val="004739D3"/>
    <w:rsid w:val="004750C7"/>
    <w:rsid w:val="00475402"/>
    <w:rsid w:val="00475AA6"/>
    <w:rsid w:val="00475B90"/>
    <w:rsid w:val="00476605"/>
    <w:rsid w:val="00476AC6"/>
    <w:rsid w:val="0047722B"/>
    <w:rsid w:val="004772B8"/>
    <w:rsid w:val="004775D9"/>
    <w:rsid w:val="0047765F"/>
    <w:rsid w:val="004778C1"/>
    <w:rsid w:val="0047793B"/>
    <w:rsid w:val="0048051A"/>
    <w:rsid w:val="00480A0F"/>
    <w:rsid w:val="00480D92"/>
    <w:rsid w:val="00482598"/>
    <w:rsid w:val="004826C8"/>
    <w:rsid w:val="00482A4A"/>
    <w:rsid w:val="00483137"/>
    <w:rsid w:val="00483B48"/>
    <w:rsid w:val="00484411"/>
    <w:rsid w:val="004847C9"/>
    <w:rsid w:val="00484ED6"/>
    <w:rsid w:val="004855CE"/>
    <w:rsid w:val="00485A74"/>
    <w:rsid w:val="00490562"/>
    <w:rsid w:val="004910B1"/>
    <w:rsid w:val="0049110B"/>
    <w:rsid w:val="004912B2"/>
    <w:rsid w:val="0049169B"/>
    <w:rsid w:val="00491D1F"/>
    <w:rsid w:val="00491F6C"/>
    <w:rsid w:val="00493825"/>
    <w:rsid w:val="00493A84"/>
    <w:rsid w:val="004940B7"/>
    <w:rsid w:val="004946E6"/>
    <w:rsid w:val="00494EEB"/>
    <w:rsid w:val="0049537D"/>
    <w:rsid w:val="004962BD"/>
    <w:rsid w:val="004964E7"/>
    <w:rsid w:val="004964F5"/>
    <w:rsid w:val="00496AE8"/>
    <w:rsid w:val="00496BD2"/>
    <w:rsid w:val="00497BBD"/>
    <w:rsid w:val="00497F5B"/>
    <w:rsid w:val="004A0829"/>
    <w:rsid w:val="004A08F7"/>
    <w:rsid w:val="004A120A"/>
    <w:rsid w:val="004A1DCA"/>
    <w:rsid w:val="004A2303"/>
    <w:rsid w:val="004A25EF"/>
    <w:rsid w:val="004A3183"/>
    <w:rsid w:val="004A443D"/>
    <w:rsid w:val="004A5AA3"/>
    <w:rsid w:val="004A7097"/>
    <w:rsid w:val="004A7334"/>
    <w:rsid w:val="004A7B97"/>
    <w:rsid w:val="004A7BBE"/>
    <w:rsid w:val="004B0190"/>
    <w:rsid w:val="004B0236"/>
    <w:rsid w:val="004B0334"/>
    <w:rsid w:val="004B0C76"/>
    <w:rsid w:val="004B0F15"/>
    <w:rsid w:val="004B13ED"/>
    <w:rsid w:val="004B1DF3"/>
    <w:rsid w:val="004B1F97"/>
    <w:rsid w:val="004B2A48"/>
    <w:rsid w:val="004B300D"/>
    <w:rsid w:val="004B39F6"/>
    <w:rsid w:val="004B4012"/>
    <w:rsid w:val="004B412C"/>
    <w:rsid w:val="004B437C"/>
    <w:rsid w:val="004B52C2"/>
    <w:rsid w:val="004B5437"/>
    <w:rsid w:val="004B54CA"/>
    <w:rsid w:val="004B6915"/>
    <w:rsid w:val="004B7429"/>
    <w:rsid w:val="004B761B"/>
    <w:rsid w:val="004C0E45"/>
    <w:rsid w:val="004C168E"/>
    <w:rsid w:val="004C17B0"/>
    <w:rsid w:val="004C333E"/>
    <w:rsid w:val="004C3561"/>
    <w:rsid w:val="004C3682"/>
    <w:rsid w:val="004C373D"/>
    <w:rsid w:val="004C37B0"/>
    <w:rsid w:val="004C47D0"/>
    <w:rsid w:val="004C4833"/>
    <w:rsid w:val="004C4FBD"/>
    <w:rsid w:val="004C593E"/>
    <w:rsid w:val="004C5CB6"/>
    <w:rsid w:val="004C67B5"/>
    <w:rsid w:val="004C69E0"/>
    <w:rsid w:val="004C7560"/>
    <w:rsid w:val="004C7F9A"/>
    <w:rsid w:val="004D0C46"/>
    <w:rsid w:val="004D0D6E"/>
    <w:rsid w:val="004D286F"/>
    <w:rsid w:val="004D2DB7"/>
    <w:rsid w:val="004D2FB2"/>
    <w:rsid w:val="004D3D1C"/>
    <w:rsid w:val="004D3F18"/>
    <w:rsid w:val="004D42C5"/>
    <w:rsid w:val="004D44DF"/>
    <w:rsid w:val="004D491B"/>
    <w:rsid w:val="004D4DF0"/>
    <w:rsid w:val="004D5111"/>
    <w:rsid w:val="004D5E55"/>
    <w:rsid w:val="004D64BA"/>
    <w:rsid w:val="004D6C80"/>
    <w:rsid w:val="004E1C97"/>
    <w:rsid w:val="004E2CA9"/>
    <w:rsid w:val="004E3C1D"/>
    <w:rsid w:val="004E448E"/>
    <w:rsid w:val="004E4CAE"/>
    <w:rsid w:val="004E4E40"/>
    <w:rsid w:val="004E6061"/>
    <w:rsid w:val="004E6657"/>
    <w:rsid w:val="004E7238"/>
    <w:rsid w:val="004E7241"/>
    <w:rsid w:val="004E751D"/>
    <w:rsid w:val="004E7AF8"/>
    <w:rsid w:val="004F1803"/>
    <w:rsid w:val="004F19EB"/>
    <w:rsid w:val="004F3921"/>
    <w:rsid w:val="004F3A08"/>
    <w:rsid w:val="004F3B14"/>
    <w:rsid w:val="004F40F7"/>
    <w:rsid w:val="004F43B6"/>
    <w:rsid w:val="004F4792"/>
    <w:rsid w:val="004F4F4E"/>
    <w:rsid w:val="004F4FC8"/>
    <w:rsid w:val="004F55B1"/>
    <w:rsid w:val="004F67C7"/>
    <w:rsid w:val="004F796D"/>
    <w:rsid w:val="004F7AEC"/>
    <w:rsid w:val="004F7C65"/>
    <w:rsid w:val="005002F2"/>
    <w:rsid w:val="00500930"/>
    <w:rsid w:val="005015E9"/>
    <w:rsid w:val="00501603"/>
    <w:rsid w:val="00501938"/>
    <w:rsid w:val="00501CB0"/>
    <w:rsid w:val="00502F4E"/>
    <w:rsid w:val="005038D8"/>
    <w:rsid w:val="00503C36"/>
    <w:rsid w:val="00504316"/>
    <w:rsid w:val="00504BE9"/>
    <w:rsid w:val="005065D2"/>
    <w:rsid w:val="00507BCF"/>
    <w:rsid w:val="00507D6E"/>
    <w:rsid w:val="005107B3"/>
    <w:rsid w:val="00510A01"/>
    <w:rsid w:val="00510E35"/>
    <w:rsid w:val="005120EB"/>
    <w:rsid w:val="00512423"/>
    <w:rsid w:val="00512938"/>
    <w:rsid w:val="00512FF5"/>
    <w:rsid w:val="00513A60"/>
    <w:rsid w:val="00513CC9"/>
    <w:rsid w:val="00513CF0"/>
    <w:rsid w:val="00514544"/>
    <w:rsid w:val="00514BE9"/>
    <w:rsid w:val="00514FCB"/>
    <w:rsid w:val="005152E7"/>
    <w:rsid w:val="00515691"/>
    <w:rsid w:val="00516BFB"/>
    <w:rsid w:val="00516D33"/>
    <w:rsid w:val="005176D9"/>
    <w:rsid w:val="00517875"/>
    <w:rsid w:val="005208F6"/>
    <w:rsid w:val="00520E8D"/>
    <w:rsid w:val="005211CD"/>
    <w:rsid w:val="00521813"/>
    <w:rsid w:val="00522D37"/>
    <w:rsid w:val="00523551"/>
    <w:rsid w:val="00523D95"/>
    <w:rsid w:val="005261FF"/>
    <w:rsid w:val="00526474"/>
    <w:rsid w:val="005266B4"/>
    <w:rsid w:val="005271D0"/>
    <w:rsid w:val="00527347"/>
    <w:rsid w:val="005276E7"/>
    <w:rsid w:val="005277C1"/>
    <w:rsid w:val="005277D9"/>
    <w:rsid w:val="005278B2"/>
    <w:rsid w:val="00527C77"/>
    <w:rsid w:val="00530A89"/>
    <w:rsid w:val="00531460"/>
    <w:rsid w:val="00531DC2"/>
    <w:rsid w:val="00532116"/>
    <w:rsid w:val="00532B85"/>
    <w:rsid w:val="00532EAF"/>
    <w:rsid w:val="005332ED"/>
    <w:rsid w:val="00533528"/>
    <w:rsid w:val="00533C57"/>
    <w:rsid w:val="005344CA"/>
    <w:rsid w:val="00535424"/>
    <w:rsid w:val="005354A8"/>
    <w:rsid w:val="005372DE"/>
    <w:rsid w:val="00537DA2"/>
    <w:rsid w:val="005410C5"/>
    <w:rsid w:val="005412FD"/>
    <w:rsid w:val="00541ABE"/>
    <w:rsid w:val="00541E5F"/>
    <w:rsid w:val="00543BA7"/>
    <w:rsid w:val="00544345"/>
    <w:rsid w:val="00544B9F"/>
    <w:rsid w:val="00545115"/>
    <w:rsid w:val="00545DD0"/>
    <w:rsid w:val="0054627E"/>
    <w:rsid w:val="005465D1"/>
    <w:rsid w:val="00546DDC"/>
    <w:rsid w:val="005471F8"/>
    <w:rsid w:val="00547A07"/>
    <w:rsid w:val="00547C09"/>
    <w:rsid w:val="00547FA8"/>
    <w:rsid w:val="0055015E"/>
    <w:rsid w:val="0055100F"/>
    <w:rsid w:val="00551140"/>
    <w:rsid w:val="005518CC"/>
    <w:rsid w:val="00551C93"/>
    <w:rsid w:val="00551CE8"/>
    <w:rsid w:val="00552199"/>
    <w:rsid w:val="00552549"/>
    <w:rsid w:val="00552723"/>
    <w:rsid w:val="00553F4E"/>
    <w:rsid w:val="00554623"/>
    <w:rsid w:val="00554E11"/>
    <w:rsid w:val="005554E7"/>
    <w:rsid w:val="005556E6"/>
    <w:rsid w:val="00555EA9"/>
    <w:rsid w:val="00555EF3"/>
    <w:rsid w:val="005565F2"/>
    <w:rsid w:val="00556CDA"/>
    <w:rsid w:val="005570A6"/>
    <w:rsid w:val="00557380"/>
    <w:rsid w:val="00557434"/>
    <w:rsid w:val="00557E02"/>
    <w:rsid w:val="00560898"/>
    <w:rsid w:val="0056093F"/>
    <w:rsid w:val="005613AF"/>
    <w:rsid w:val="005628E1"/>
    <w:rsid w:val="00562BD6"/>
    <w:rsid w:val="00562F43"/>
    <w:rsid w:val="005633BF"/>
    <w:rsid w:val="005634D2"/>
    <w:rsid w:val="00563507"/>
    <w:rsid w:val="00563DB4"/>
    <w:rsid w:val="005640FC"/>
    <w:rsid w:val="00564862"/>
    <w:rsid w:val="00564A10"/>
    <w:rsid w:val="00564DE0"/>
    <w:rsid w:val="00565184"/>
    <w:rsid w:val="00565E33"/>
    <w:rsid w:val="00566141"/>
    <w:rsid w:val="005662DE"/>
    <w:rsid w:val="00566CE6"/>
    <w:rsid w:val="00566E2E"/>
    <w:rsid w:val="00567E5D"/>
    <w:rsid w:val="0057043A"/>
    <w:rsid w:val="005706A5"/>
    <w:rsid w:val="00571C77"/>
    <w:rsid w:val="0057258E"/>
    <w:rsid w:val="00572A9F"/>
    <w:rsid w:val="005732EA"/>
    <w:rsid w:val="00573F62"/>
    <w:rsid w:val="00575041"/>
    <w:rsid w:val="005752AE"/>
    <w:rsid w:val="00575401"/>
    <w:rsid w:val="00575730"/>
    <w:rsid w:val="005758EF"/>
    <w:rsid w:val="005765FA"/>
    <w:rsid w:val="00576917"/>
    <w:rsid w:val="00577B19"/>
    <w:rsid w:val="00577B69"/>
    <w:rsid w:val="00577F44"/>
    <w:rsid w:val="00580691"/>
    <w:rsid w:val="005809B1"/>
    <w:rsid w:val="0058172D"/>
    <w:rsid w:val="00581C16"/>
    <w:rsid w:val="0058204F"/>
    <w:rsid w:val="00582C31"/>
    <w:rsid w:val="0058312C"/>
    <w:rsid w:val="00584B8C"/>
    <w:rsid w:val="0058583C"/>
    <w:rsid w:val="00585E08"/>
    <w:rsid w:val="005865A9"/>
    <w:rsid w:val="00586A1D"/>
    <w:rsid w:val="00586B3F"/>
    <w:rsid w:val="00586FAE"/>
    <w:rsid w:val="00587B42"/>
    <w:rsid w:val="005903A2"/>
    <w:rsid w:val="00590D30"/>
    <w:rsid w:val="00591498"/>
    <w:rsid w:val="00591E40"/>
    <w:rsid w:val="00592914"/>
    <w:rsid w:val="00593F76"/>
    <w:rsid w:val="00594299"/>
    <w:rsid w:val="00594E3C"/>
    <w:rsid w:val="005951F8"/>
    <w:rsid w:val="00595BB4"/>
    <w:rsid w:val="00595FC1"/>
    <w:rsid w:val="00596282"/>
    <w:rsid w:val="00596646"/>
    <w:rsid w:val="00596AB4"/>
    <w:rsid w:val="00597893"/>
    <w:rsid w:val="005A000E"/>
    <w:rsid w:val="005A0509"/>
    <w:rsid w:val="005A09C0"/>
    <w:rsid w:val="005A0ED0"/>
    <w:rsid w:val="005A13E6"/>
    <w:rsid w:val="005A14CB"/>
    <w:rsid w:val="005A2362"/>
    <w:rsid w:val="005A2523"/>
    <w:rsid w:val="005A30C3"/>
    <w:rsid w:val="005A3257"/>
    <w:rsid w:val="005A3A36"/>
    <w:rsid w:val="005A4DB1"/>
    <w:rsid w:val="005A55BD"/>
    <w:rsid w:val="005A5CDE"/>
    <w:rsid w:val="005A6611"/>
    <w:rsid w:val="005A68B7"/>
    <w:rsid w:val="005A6C8D"/>
    <w:rsid w:val="005B0912"/>
    <w:rsid w:val="005B0F9C"/>
    <w:rsid w:val="005B10DA"/>
    <w:rsid w:val="005B1E34"/>
    <w:rsid w:val="005B1EF2"/>
    <w:rsid w:val="005B257D"/>
    <w:rsid w:val="005B27B2"/>
    <w:rsid w:val="005B3675"/>
    <w:rsid w:val="005B404E"/>
    <w:rsid w:val="005B40D6"/>
    <w:rsid w:val="005B4956"/>
    <w:rsid w:val="005B4B4A"/>
    <w:rsid w:val="005B4D74"/>
    <w:rsid w:val="005B4DD9"/>
    <w:rsid w:val="005B568C"/>
    <w:rsid w:val="005B5EA9"/>
    <w:rsid w:val="005B62E3"/>
    <w:rsid w:val="005B738F"/>
    <w:rsid w:val="005C09CB"/>
    <w:rsid w:val="005C0A16"/>
    <w:rsid w:val="005C1119"/>
    <w:rsid w:val="005C1C64"/>
    <w:rsid w:val="005C321A"/>
    <w:rsid w:val="005C3556"/>
    <w:rsid w:val="005C3A0C"/>
    <w:rsid w:val="005C3AAD"/>
    <w:rsid w:val="005C3DAB"/>
    <w:rsid w:val="005C461F"/>
    <w:rsid w:val="005C484D"/>
    <w:rsid w:val="005C4E22"/>
    <w:rsid w:val="005C58E9"/>
    <w:rsid w:val="005C5DDB"/>
    <w:rsid w:val="005C63A2"/>
    <w:rsid w:val="005C661C"/>
    <w:rsid w:val="005C72A9"/>
    <w:rsid w:val="005C7437"/>
    <w:rsid w:val="005C775F"/>
    <w:rsid w:val="005C7B2D"/>
    <w:rsid w:val="005C7E3C"/>
    <w:rsid w:val="005D039F"/>
    <w:rsid w:val="005D052D"/>
    <w:rsid w:val="005D0C01"/>
    <w:rsid w:val="005D0E81"/>
    <w:rsid w:val="005D11BA"/>
    <w:rsid w:val="005D1823"/>
    <w:rsid w:val="005D2445"/>
    <w:rsid w:val="005D316A"/>
    <w:rsid w:val="005D594C"/>
    <w:rsid w:val="005D5A60"/>
    <w:rsid w:val="005D5FE5"/>
    <w:rsid w:val="005D6602"/>
    <w:rsid w:val="005D6D29"/>
    <w:rsid w:val="005D71EC"/>
    <w:rsid w:val="005D78AD"/>
    <w:rsid w:val="005D7F8C"/>
    <w:rsid w:val="005E1182"/>
    <w:rsid w:val="005E2509"/>
    <w:rsid w:val="005E3224"/>
    <w:rsid w:val="005E3FDE"/>
    <w:rsid w:val="005E45EC"/>
    <w:rsid w:val="005E4887"/>
    <w:rsid w:val="005E4E8B"/>
    <w:rsid w:val="005E4F5F"/>
    <w:rsid w:val="005E57D2"/>
    <w:rsid w:val="005E5FD1"/>
    <w:rsid w:val="005E65E4"/>
    <w:rsid w:val="005E6C5B"/>
    <w:rsid w:val="005E707F"/>
    <w:rsid w:val="005F039E"/>
    <w:rsid w:val="005F0D33"/>
    <w:rsid w:val="005F0ECF"/>
    <w:rsid w:val="005F1AEB"/>
    <w:rsid w:val="005F1FB2"/>
    <w:rsid w:val="005F2002"/>
    <w:rsid w:val="005F23AE"/>
    <w:rsid w:val="005F2E2A"/>
    <w:rsid w:val="005F33BF"/>
    <w:rsid w:val="005F46DD"/>
    <w:rsid w:val="005F47E1"/>
    <w:rsid w:val="005F4AC8"/>
    <w:rsid w:val="005F5C6A"/>
    <w:rsid w:val="005F5E28"/>
    <w:rsid w:val="005F5F76"/>
    <w:rsid w:val="005F6181"/>
    <w:rsid w:val="005F6249"/>
    <w:rsid w:val="005F62D7"/>
    <w:rsid w:val="005F6EF2"/>
    <w:rsid w:val="005F74A6"/>
    <w:rsid w:val="005F74D9"/>
    <w:rsid w:val="005F7FA8"/>
    <w:rsid w:val="006007F8"/>
    <w:rsid w:val="0060184D"/>
    <w:rsid w:val="00601E64"/>
    <w:rsid w:val="00603145"/>
    <w:rsid w:val="00603ABF"/>
    <w:rsid w:val="00603F4E"/>
    <w:rsid w:val="006053D5"/>
    <w:rsid w:val="006058DC"/>
    <w:rsid w:val="00605984"/>
    <w:rsid w:val="00607BB7"/>
    <w:rsid w:val="00607D88"/>
    <w:rsid w:val="006100BB"/>
    <w:rsid w:val="00610738"/>
    <w:rsid w:val="006113A4"/>
    <w:rsid w:val="00611A5E"/>
    <w:rsid w:val="00611AD8"/>
    <w:rsid w:val="00611DDF"/>
    <w:rsid w:val="006133A3"/>
    <w:rsid w:val="00613C16"/>
    <w:rsid w:val="00614CB7"/>
    <w:rsid w:val="00614D3B"/>
    <w:rsid w:val="00615575"/>
    <w:rsid w:val="006155EF"/>
    <w:rsid w:val="0061604B"/>
    <w:rsid w:val="006161EA"/>
    <w:rsid w:val="00616331"/>
    <w:rsid w:val="0061682B"/>
    <w:rsid w:val="0061753A"/>
    <w:rsid w:val="00620753"/>
    <w:rsid w:val="00621272"/>
    <w:rsid w:val="00622714"/>
    <w:rsid w:val="00622D13"/>
    <w:rsid w:val="00623453"/>
    <w:rsid w:val="00623667"/>
    <w:rsid w:val="00623880"/>
    <w:rsid w:val="00623C28"/>
    <w:rsid w:val="00623EAF"/>
    <w:rsid w:val="006262C4"/>
    <w:rsid w:val="006267D6"/>
    <w:rsid w:val="0062750B"/>
    <w:rsid w:val="006300BE"/>
    <w:rsid w:val="00630D93"/>
    <w:rsid w:val="00630EF6"/>
    <w:rsid w:val="0063219B"/>
    <w:rsid w:val="00632D92"/>
    <w:rsid w:val="006331C8"/>
    <w:rsid w:val="0063379F"/>
    <w:rsid w:val="006338D0"/>
    <w:rsid w:val="00633CEF"/>
    <w:rsid w:val="00634078"/>
    <w:rsid w:val="0063458E"/>
    <w:rsid w:val="00634619"/>
    <w:rsid w:val="00634649"/>
    <w:rsid w:val="00634D7B"/>
    <w:rsid w:val="006356CE"/>
    <w:rsid w:val="00636515"/>
    <w:rsid w:val="00636722"/>
    <w:rsid w:val="00636C1E"/>
    <w:rsid w:val="0063729A"/>
    <w:rsid w:val="00637348"/>
    <w:rsid w:val="006373FD"/>
    <w:rsid w:val="0063787E"/>
    <w:rsid w:val="00637C9C"/>
    <w:rsid w:val="0064012A"/>
    <w:rsid w:val="00640FA1"/>
    <w:rsid w:val="00641C34"/>
    <w:rsid w:val="00642390"/>
    <w:rsid w:val="00642560"/>
    <w:rsid w:val="006429DE"/>
    <w:rsid w:val="00642D5A"/>
    <w:rsid w:val="0064356A"/>
    <w:rsid w:val="00644CE9"/>
    <w:rsid w:val="0064525B"/>
    <w:rsid w:val="00645392"/>
    <w:rsid w:val="006454F6"/>
    <w:rsid w:val="00645543"/>
    <w:rsid w:val="0064554D"/>
    <w:rsid w:val="006455E3"/>
    <w:rsid w:val="006460F8"/>
    <w:rsid w:val="00646166"/>
    <w:rsid w:val="006463C9"/>
    <w:rsid w:val="00646DD2"/>
    <w:rsid w:val="006473C3"/>
    <w:rsid w:val="006479D4"/>
    <w:rsid w:val="00647D05"/>
    <w:rsid w:val="00647E44"/>
    <w:rsid w:val="006505D8"/>
    <w:rsid w:val="00651645"/>
    <w:rsid w:val="00653019"/>
    <w:rsid w:val="00653205"/>
    <w:rsid w:val="006535AB"/>
    <w:rsid w:val="006536C7"/>
    <w:rsid w:val="0065499E"/>
    <w:rsid w:val="00654A9E"/>
    <w:rsid w:val="00655A10"/>
    <w:rsid w:val="00655AA0"/>
    <w:rsid w:val="0065660B"/>
    <w:rsid w:val="00657F61"/>
    <w:rsid w:val="00657FEF"/>
    <w:rsid w:val="00660720"/>
    <w:rsid w:val="006612EE"/>
    <w:rsid w:val="00661A2A"/>
    <w:rsid w:val="00661E4B"/>
    <w:rsid w:val="00661E84"/>
    <w:rsid w:val="0066288F"/>
    <w:rsid w:val="00663184"/>
    <w:rsid w:val="006650FA"/>
    <w:rsid w:val="00665A14"/>
    <w:rsid w:val="00665C3A"/>
    <w:rsid w:val="0066695F"/>
    <w:rsid w:val="00666C03"/>
    <w:rsid w:val="006670B0"/>
    <w:rsid w:val="00667203"/>
    <w:rsid w:val="00667545"/>
    <w:rsid w:val="006678C6"/>
    <w:rsid w:val="00670506"/>
    <w:rsid w:val="00672494"/>
    <w:rsid w:val="0067268E"/>
    <w:rsid w:val="0067285B"/>
    <w:rsid w:val="00673A0C"/>
    <w:rsid w:val="006740FC"/>
    <w:rsid w:val="006746C3"/>
    <w:rsid w:val="00674CD3"/>
    <w:rsid w:val="00675991"/>
    <w:rsid w:val="00675BF7"/>
    <w:rsid w:val="0067691B"/>
    <w:rsid w:val="00677841"/>
    <w:rsid w:val="0067799A"/>
    <w:rsid w:val="00681391"/>
    <w:rsid w:val="006817C7"/>
    <w:rsid w:val="00681896"/>
    <w:rsid w:val="006819DA"/>
    <w:rsid w:val="00682310"/>
    <w:rsid w:val="00682D2F"/>
    <w:rsid w:val="00683D6C"/>
    <w:rsid w:val="00683F2C"/>
    <w:rsid w:val="00684173"/>
    <w:rsid w:val="00684567"/>
    <w:rsid w:val="00684790"/>
    <w:rsid w:val="006848E3"/>
    <w:rsid w:val="00684B2C"/>
    <w:rsid w:val="00684C03"/>
    <w:rsid w:val="0068530A"/>
    <w:rsid w:val="00686209"/>
    <w:rsid w:val="0068699F"/>
    <w:rsid w:val="00686AE7"/>
    <w:rsid w:val="00687227"/>
    <w:rsid w:val="0069017F"/>
    <w:rsid w:val="006903B6"/>
    <w:rsid w:val="006913E3"/>
    <w:rsid w:val="006930B3"/>
    <w:rsid w:val="006937F0"/>
    <w:rsid w:val="006944FB"/>
    <w:rsid w:val="00694D90"/>
    <w:rsid w:val="006967F3"/>
    <w:rsid w:val="00696FFA"/>
    <w:rsid w:val="0069726A"/>
    <w:rsid w:val="0069736C"/>
    <w:rsid w:val="00697557"/>
    <w:rsid w:val="006976E2"/>
    <w:rsid w:val="00697BA6"/>
    <w:rsid w:val="006A025E"/>
    <w:rsid w:val="006A0285"/>
    <w:rsid w:val="006A0709"/>
    <w:rsid w:val="006A0B0D"/>
    <w:rsid w:val="006A14E1"/>
    <w:rsid w:val="006A1852"/>
    <w:rsid w:val="006A1BC5"/>
    <w:rsid w:val="006A224E"/>
    <w:rsid w:val="006A2750"/>
    <w:rsid w:val="006A30A5"/>
    <w:rsid w:val="006A321F"/>
    <w:rsid w:val="006A3E01"/>
    <w:rsid w:val="006A4351"/>
    <w:rsid w:val="006A44E6"/>
    <w:rsid w:val="006A4A44"/>
    <w:rsid w:val="006A4B61"/>
    <w:rsid w:val="006A4DD2"/>
    <w:rsid w:val="006A51D2"/>
    <w:rsid w:val="006A562F"/>
    <w:rsid w:val="006A5E9C"/>
    <w:rsid w:val="006A608C"/>
    <w:rsid w:val="006A6581"/>
    <w:rsid w:val="006A699B"/>
    <w:rsid w:val="006A77D5"/>
    <w:rsid w:val="006B0B8C"/>
    <w:rsid w:val="006B1D57"/>
    <w:rsid w:val="006B2412"/>
    <w:rsid w:val="006B29EA"/>
    <w:rsid w:val="006B2FE9"/>
    <w:rsid w:val="006B3F3F"/>
    <w:rsid w:val="006B4221"/>
    <w:rsid w:val="006B4268"/>
    <w:rsid w:val="006B4338"/>
    <w:rsid w:val="006B4D5B"/>
    <w:rsid w:val="006B5C16"/>
    <w:rsid w:val="006B5C7E"/>
    <w:rsid w:val="006B5F5E"/>
    <w:rsid w:val="006B6A28"/>
    <w:rsid w:val="006B6CB5"/>
    <w:rsid w:val="006B7EEE"/>
    <w:rsid w:val="006C0453"/>
    <w:rsid w:val="006C0716"/>
    <w:rsid w:val="006C11CA"/>
    <w:rsid w:val="006C1819"/>
    <w:rsid w:val="006C1FC1"/>
    <w:rsid w:val="006C27BA"/>
    <w:rsid w:val="006C2A09"/>
    <w:rsid w:val="006C304C"/>
    <w:rsid w:val="006C35EA"/>
    <w:rsid w:val="006C3A40"/>
    <w:rsid w:val="006C4429"/>
    <w:rsid w:val="006C4476"/>
    <w:rsid w:val="006C48C6"/>
    <w:rsid w:val="006C4F37"/>
    <w:rsid w:val="006C4F98"/>
    <w:rsid w:val="006C518B"/>
    <w:rsid w:val="006C54ED"/>
    <w:rsid w:val="006C5E7B"/>
    <w:rsid w:val="006C614C"/>
    <w:rsid w:val="006C6325"/>
    <w:rsid w:val="006C7028"/>
    <w:rsid w:val="006C7397"/>
    <w:rsid w:val="006D01B6"/>
    <w:rsid w:val="006D0313"/>
    <w:rsid w:val="006D088D"/>
    <w:rsid w:val="006D0CEF"/>
    <w:rsid w:val="006D191F"/>
    <w:rsid w:val="006D1AF4"/>
    <w:rsid w:val="006D1E5C"/>
    <w:rsid w:val="006D2A7A"/>
    <w:rsid w:val="006D2DC4"/>
    <w:rsid w:val="006D32F1"/>
    <w:rsid w:val="006D344B"/>
    <w:rsid w:val="006D4B56"/>
    <w:rsid w:val="006D5BC8"/>
    <w:rsid w:val="006D66A1"/>
    <w:rsid w:val="006E0450"/>
    <w:rsid w:val="006E0DBC"/>
    <w:rsid w:val="006E112F"/>
    <w:rsid w:val="006E1371"/>
    <w:rsid w:val="006E27BF"/>
    <w:rsid w:val="006E2EB0"/>
    <w:rsid w:val="006E3B5A"/>
    <w:rsid w:val="006E41DC"/>
    <w:rsid w:val="006E43D8"/>
    <w:rsid w:val="006E4630"/>
    <w:rsid w:val="006E4A74"/>
    <w:rsid w:val="006E4F3F"/>
    <w:rsid w:val="006E5456"/>
    <w:rsid w:val="006E5DD3"/>
    <w:rsid w:val="006E6AC7"/>
    <w:rsid w:val="006E7327"/>
    <w:rsid w:val="006E778E"/>
    <w:rsid w:val="006E7887"/>
    <w:rsid w:val="006F03AD"/>
    <w:rsid w:val="006F04B4"/>
    <w:rsid w:val="006F09F6"/>
    <w:rsid w:val="006F1C42"/>
    <w:rsid w:val="006F1D45"/>
    <w:rsid w:val="006F2604"/>
    <w:rsid w:val="006F2780"/>
    <w:rsid w:val="006F28B8"/>
    <w:rsid w:val="006F2927"/>
    <w:rsid w:val="006F3643"/>
    <w:rsid w:val="006F3E46"/>
    <w:rsid w:val="006F3E5C"/>
    <w:rsid w:val="006F3E7A"/>
    <w:rsid w:val="006F467D"/>
    <w:rsid w:val="006F4694"/>
    <w:rsid w:val="006F504B"/>
    <w:rsid w:val="006F5209"/>
    <w:rsid w:val="006F5265"/>
    <w:rsid w:val="006F5415"/>
    <w:rsid w:val="006F5C17"/>
    <w:rsid w:val="006F5DBF"/>
    <w:rsid w:val="006F60F9"/>
    <w:rsid w:val="006F6225"/>
    <w:rsid w:val="006F6921"/>
    <w:rsid w:val="006F6F3B"/>
    <w:rsid w:val="00700F8A"/>
    <w:rsid w:val="0070112E"/>
    <w:rsid w:val="007013C1"/>
    <w:rsid w:val="007037CC"/>
    <w:rsid w:val="00704498"/>
    <w:rsid w:val="00704B15"/>
    <w:rsid w:val="00704C7D"/>
    <w:rsid w:val="00705045"/>
    <w:rsid w:val="0070529E"/>
    <w:rsid w:val="00705530"/>
    <w:rsid w:val="007055FD"/>
    <w:rsid w:val="00705D48"/>
    <w:rsid w:val="00705F82"/>
    <w:rsid w:val="00706952"/>
    <w:rsid w:val="00711395"/>
    <w:rsid w:val="007118AD"/>
    <w:rsid w:val="007120F9"/>
    <w:rsid w:val="00712475"/>
    <w:rsid w:val="007126D6"/>
    <w:rsid w:val="00713DEA"/>
    <w:rsid w:val="00714A82"/>
    <w:rsid w:val="00714BE3"/>
    <w:rsid w:val="00714DB4"/>
    <w:rsid w:val="00714FC7"/>
    <w:rsid w:val="00715882"/>
    <w:rsid w:val="007158BD"/>
    <w:rsid w:val="00715C15"/>
    <w:rsid w:val="00716182"/>
    <w:rsid w:val="00716B30"/>
    <w:rsid w:val="007174C2"/>
    <w:rsid w:val="00717B80"/>
    <w:rsid w:val="00720A09"/>
    <w:rsid w:val="007218CE"/>
    <w:rsid w:val="00721F4A"/>
    <w:rsid w:val="0072239C"/>
    <w:rsid w:val="00722522"/>
    <w:rsid w:val="0072346C"/>
    <w:rsid w:val="00723472"/>
    <w:rsid w:val="0072362D"/>
    <w:rsid w:val="00723FB0"/>
    <w:rsid w:val="007240E5"/>
    <w:rsid w:val="00724122"/>
    <w:rsid w:val="007243AF"/>
    <w:rsid w:val="00724AB9"/>
    <w:rsid w:val="00724FB6"/>
    <w:rsid w:val="00725D6F"/>
    <w:rsid w:val="00725DC4"/>
    <w:rsid w:val="0072602E"/>
    <w:rsid w:val="00727E67"/>
    <w:rsid w:val="007307E5"/>
    <w:rsid w:val="00731149"/>
    <w:rsid w:val="00731859"/>
    <w:rsid w:val="00731A2F"/>
    <w:rsid w:val="007324D7"/>
    <w:rsid w:val="007324FE"/>
    <w:rsid w:val="0073271F"/>
    <w:rsid w:val="007335FD"/>
    <w:rsid w:val="00733738"/>
    <w:rsid w:val="00733978"/>
    <w:rsid w:val="0073450F"/>
    <w:rsid w:val="00734591"/>
    <w:rsid w:val="00734603"/>
    <w:rsid w:val="0073615E"/>
    <w:rsid w:val="00736222"/>
    <w:rsid w:val="00737A65"/>
    <w:rsid w:val="007407C0"/>
    <w:rsid w:val="00740E7E"/>
    <w:rsid w:val="00741983"/>
    <w:rsid w:val="007419D1"/>
    <w:rsid w:val="007431EF"/>
    <w:rsid w:val="00743578"/>
    <w:rsid w:val="00744783"/>
    <w:rsid w:val="007448AC"/>
    <w:rsid w:val="00744940"/>
    <w:rsid w:val="007451C6"/>
    <w:rsid w:val="00745D5D"/>
    <w:rsid w:val="00746001"/>
    <w:rsid w:val="0074698B"/>
    <w:rsid w:val="0074719B"/>
    <w:rsid w:val="0074794C"/>
    <w:rsid w:val="00747DF1"/>
    <w:rsid w:val="00747E0F"/>
    <w:rsid w:val="00747ED4"/>
    <w:rsid w:val="00750378"/>
    <w:rsid w:val="007508C6"/>
    <w:rsid w:val="007509C9"/>
    <w:rsid w:val="00750B57"/>
    <w:rsid w:val="007513DF"/>
    <w:rsid w:val="007535A3"/>
    <w:rsid w:val="00753640"/>
    <w:rsid w:val="00754CF9"/>
    <w:rsid w:val="00754E93"/>
    <w:rsid w:val="00755663"/>
    <w:rsid w:val="00756054"/>
    <w:rsid w:val="00756118"/>
    <w:rsid w:val="007565C3"/>
    <w:rsid w:val="00756715"/>
    <w:rsid w:val="00756BBF"/>
    <w:rsid w:val="0075776A"/>
    <w:rsid w:val="00757821"/>
    <w:rsid w:val="0076039D"/>
    <w:rsid w:val="00760535"/>
    <w:rsid w:val="00760B54"/>
    <w:rsid w:val="00760BD6"/>
    <w:rsid w:val="0076125E"/>
    <w:rsid w:val="007618A0"/>
    <w:rsid w:val="00762151"/>
    <w:rsid w:val="007624C6"/>
    <w:rsid w:val="00762F2B"/>
    <w:rsid w:val="00763527"/>
    <w:rsid w:val="00763C51"/>
    <w:rsid w:val="0076563C"/>
    <w:rsid w:val="00765E94"/>
    <w:rsid w:val="00765ED9"/>
    <w:rsid w:val="007662E8"/>
    <w:rsid w:val="00767155"/>
    <w:rsid w:val="00767466"/>
    <w:rsid w:val="00767D17"/>
    <w:rsid w:val="00767FA2"/>
    <w:rsid w:val="007703D7"/>
    <w:rsid w:val="0077164F"/>
    <w:rsid w:val="007725B7"/>
    <w:rsid w:val="007726E1"/>
    <w:rsid w:val="00772D3C"/>
    <w:rsid w:val="0077315C"/>
    <w:rsid w:val="00775276"/>
    <w:rsid w:val="0077561D"/>
    <w:rsid w:val="00776364"/>
    <w:rsid w:val="0077676E"/>
    <w:rsid w:val="00776990"/>
    <w:rsid w:val="00776AA6"/>
    <w:rsid w:val="00777084"/>
    <w:rsid w:val="00777440"/>
    <w:rsid w:val="00780097"/>
    <w:rsid w:val="0078063A"/>
    <w:rsid w:val="00780640"/>
    <w:rsid w:val="00780C58"/>
    <w:rsid w:val="00780E2F"/>
    <w:rsid w:val="0078214B"/>
    <w:rsid w:val="00782164"/>
    <w:rsid w:val="00782455"/>
    <w:rsid w:val="007824F8"/>
    <w:rsid w:val="0078289E"/>
    <w:rsid w:val="007832A6"/>
    <w:rsid w:val="007836EB"/>
    <w:rsid w:val="00783A7D"/>
    <w:rsid w:val="00783B08"/>
    <w:rsid w:val="00783D3E"/>
    <w:rsid w:val="00784174"/>
    <w:rsid w:val="00784555"/>
    <w:rsid w:val="00785009"/>
    <w:rsid w:val="007851C3"/>
    <w:rsid w:val="00785B4B"/>
    <w:rsid w:val="00785DBA"/>
    <w:rsid w:val="0078628C"/>
    <w:rsid w:val="007862EB"/>
    <w:rsid w:val="0078646A"/>
    <w:rsid w:val="007864CF"/>
    <w:rsid w:val="0078749B"/>
    <w:rsid w:val="0079015D"/>
    <w:rsid w:val="007911E4"/>
    <w:rsid w:val="00791B87"/>
    <w:rsid w:val="00791D55"/>
    <w:rsid w:val="007925F7"/>
    <w:rsid w:val="00792D0A"/>
    <w:rsid w:val="00793294"/>
    <w:rsid w:val="00793F46"/>
    <w:rsid w:val="007944F5"/>
    <w:rsid w:val="00794BE6"/>
    <w:rsid w:val="00794CE4"/>
    <w:rsid w:val="00795575"/>
    <w:rsid w:val="007963AC"/>
    <w:rsid w:val="00796ACC"/>
    <w:rsid w:val="007975F0"/>
    <w:rsid w:val="00797C44"/>
    <w:rsid w:val="007A0007"/>
    <w:rsid w:val="007A00A4"/>
    <w:rsid w:val="007A0206"/>
    <w:rsid w:val="007A15C7"/>
    <w:rsid w:val="007A15CD"/>
    <w:rsid w:val="007A2261"/>
    <w:rsid w:val="007A3BF4"/>
    <w:rsid w:val="007A467F"/>
    <w:rsid w:val="007A46E2"/>
    <w:rsid w:val="007A500A"/>
    <w:rsid w:val="007A5488"/>
    <w:rsid w:val="007A55B5"/>
    <w:rsid w:val="007A5AE2"/>
    <w:rsid w:val="007A6061"/>
    <w:rsid w:val="007A62B6"/>
    <w:rsid w:val="007A661F"/>
    <w:rsid w:val="007A6ECF"/>
    <w:rsid w:val="007B0439"/>
    <w:rsid w:val="007B10D7"/>
    <w:rsid w:val="007B1262"/>
    <w:rsid w:val="007B1BEA"/>
    <w:rsid w:val="007B1DDF"/>
    <w:rsid w:val="007B2320"/>
    <w:rsid w:val="007B3514"/>
    <w:rsid w:val="007B35AD"/>
    <w:rsid w:val="007B3AF3"/>
    <w:rsid w:val="007B40ED"/>
    <w:rsid w:val="007B415E"/>
    <w:rsid w:val="007B4605"/>
    <w:rsid w:val="007B4DE8"/>
    <w:rsid w:val="007B5755"/>
    <w:rsid w:val="007B58EF"/>
    <w:rsid w:val="007B62F6"/>
    <w:rsid w:val="007B709B"/>
    <w:rsid w:val="007B74E0"/>
    <w:rsid w:val="007C0728"/>
    <w:rsid w:val="007C0B81"/>
    <w:rsid w:val="007C1492"/>
    <w:rsid w:val="007C1D4A"/>
    <w:rsid w:val="007C2B76"/>
    <w:rsid w:val="007C2DB9"/>
    <w:rsid w:val="007C36C9"/>
    <w:rsid w:val="007C3991"/>
    <w:rsid w:val="007C4AEF"/>
    <w:rsid w:val="007C61B0"/>
    <w:rsid w:val="007C66C5"/>
    <w:rsid w:val="007C6C80"/>
    <w:rsid w:val="007C6D80"/>
    <w:rsid w:val="007C7953"/>
    <w:rsid w:val="007C7BBB"/>
    <w:rsid w:val="007D0150"/>
    <w:rsid w:val="007D08B6"/>
    <w:rsid w:val="007D1D64"/>
    <w:rsid w:val="007D2603"/>
    <w:rsid w:val="007D29B1"/>
    <w:rsid w:val="007D36B8"/>
    <w:rsid w:val="007D3970"/>
    <w:rsid w:val="007D4FA7"/>
    <w:rsid w:val="007D567A"/>
    <w:rsid w:val="007D6B49"/>
    <w:rsid w:val="007D7634"/>
    <w:rsid w:val="007D7899"/>
    <w:rsid w:val="007E121F"/>
    <w:rsid w:val="007E132B"/>
    <w:rsid w:val="007E137E"/>
    <w:rsid w:val="007E13CB"/>
    <w:rsid w:val="007E14C5"/>
    <w:rsid w:val="007E1F25"/>
    <w:rsid w:val="007E317D"/>
    <w:rsid w:val="007E3496"/>
    <w:rsid w:val="007E3F3F"/>
    <w:rsid w:val="007E4230"/>
    <w:rsid w:val="007E4977"/>
    <w:rsid w:val="007E4A51"/>
    <w:rsid w:val="007E4AFB"/>
    <w:rsid w:val="007E4C28"/>
    <w:rsid w:val="007E4C38"/>
    <w:rsid w:val="007E4F11"/>
    <w:rsid w:val="007E5077"/>
    <w:rsid w:val="007E543F"/>
    <w:rsid w:val="007E563F"/>
    <w:rsid w:val="007E6241"/>
    <w:rsid w:val="007E667F"/>
    <w:rsid w:val="007E68F9"/>
    <w:rsid w:val="007E697D"/>
    <w:rsid w:val="007E6C89"/>
    <w:rsid w:val="007E6CB3"/>
    <w:rsid w:val="007F01E0"/>
    <w:rsid w:val="007F0266"/>
    <w:rsid w:val="007F214E"/>
    <w:rsid w:val="007F2CAF"/>
    <w:rsid w:val="007F3287"/>
    <w:rsid w:val="007F3582"/>
    <w:rsid w:val="007F3B85"/>
    <w:rsid w:val="007F4079"/>
    <w:rsid w:val="007F4102"/>
    <w:rsid w:val="007F6198"/>
    <w:rsid w:val="007F627A"/>
    <w:rsid w:val="00800CBC"/>
    <w:rsid w:val="008014D7"/>
    <w:rsid w:val="0080184D"/>
    <w:rsid w:val="00801CC4"/>
    <w:rsid w:val="00801DB3"/>
    <w:rsid w:val="0080313B"/>
    <w:rsid w:val="0080323B"/>
    <w:rsid w:val="00803FC9"/>
    <w:rsid w:val="008042EA"/>
    <w:rsid w:val="00804716"/>
    <w:rsid w:val="00804814"/>
    <w:rsid w:val="00804BA7"/>
    <w:rsid w:val="00804CEE"/>
    <w:rsid w:val="008050CE"/>
    <w:rsid w:val="00805932"/>
    <w:rsid w:val="00805DD6"/>
    <w:rsid w:val="00805FAA"/>
    <w:rsid w:val="00806D14"/>
    <w:rsid w:val="00806F15"/>
    <w:rsid w:val="00807502"/>
    <w:rsid w:val="00807D77"/>
    <w:rsid w:val="008100E4"/>
    <w:rsid w:val="00810E3C"/>
    <w:rsid w:val="00810EC2"/>
    <w:rsid w:val="0081123F"/>
    <w:rsid w:val="00811557"/>
    <w:rsid w:val="00811560"/>
    <w:rsid w:val="00811630"/>
    <w:rsid w:val="00811C73"/>
    <w:rsid w:val="00811E27"/>
    <w:rsid w:val="00812179"/>
    <w:rsid w:val="008121DF"/>
    <w:rsid w:val="008124BD"/>
    <w:rsid w:val="00812B01"/>
    <w:rsid w:val="00814CBC"/>
    <w:rsid w:val="0081539D"/>
    <w:rsid w:val="0081541B"/>
    <w:rsid w:val="008156A9"/>
    <w:rsid w:val="00815B14"/>
    <w:rsid w:val="00815B23"/>
    <w:rsid w:val="00815E59"/>
    <w:rsid w:val="008161F3"/>
    <w:rsid w:val="0081630F"/>
    <w:rsid w:val="008165D9"/>
    <w:rsid w:val="00816745"/>
    <w:rsid w:val="0081689C"/>
    <w:rsid w:val="00820046"/>
    <w:rsid w:val="008211E5"/>
    <w:rsid w:val="00821837"/>
    <w:rsid w:val="0082184E"/>
    <w:rsid w:val="0082199D"/>
    <w:rsid w:val="00822B61"/>
    <w:rsid w:val="00823286"/>
    <w:rsid w:val="0082342B"/>
    <w:rsid w:val="00823BE4"/>
    <w:rsid w:val="008252B6"/>
    <w:rsid w:val="00825CA2"/>
    <w:rsid w:val="00825D7E"/>
    <w:rsid w:val="00826531"/>
    <w:rsid w:val="008267F8"/>
    <w:rsid w:val="00826A82"/>
    <w:rsid w:val="00827057"/>
    <w:rsid w:val="008277F7"/>
    <w:rsid w:val="00827896"/>
    <w:rsid w:val="00827D79"/>
    <w:rsid w:val="008300F8"/>
    <w:rsid w:val="008301C2"/>
    <w:rsid w:val="008304D3"/>
    <w:rsid w:val="0083193A"/>
    <w:rsid w:val="00831BBA"/>
    <w:rsid w:val="00833653"/>
    <w:rsid w:val="00833877"/>
    <w:rsid w:val="00833A86"/>
    <w:rsid w:val="00833AAD"/>
    <w:rsid w:val="00833E84"/>
    <w:rsid w:val="0083441C"/>
    <w:rsid w:val="00834801"/>
    <w:rsid w:val="00835144"/>
    <w:rsid w:val="0083537F"/>
    <w:rsid w:val="00835FD0"/>
    <w:rsid w:val="0083616C"/>
    <w:rsid w:val="008362A0"/>
    <w:rsid w:val="0083695E"/>
    <w:rsid w:val="00836F13"/>
    <w:rsid w:val="008411B2"/>
    <w:rsid w:val="008413EE"/>
    <w:rsid w:val="008422DE"/>
    <w:rsid w:val="00842944"/>
    <w:rsid w:val="00842E70"/>
    <w:rsid w:val="0084308F"/>
    <w:rsid w:val="008430E7"/>
    <w:rsid w:val="008430F7"/>
    <w:rsid w:val="00843774"/>
    <w:rsid w:val="008441B4"/>
    <w:rsid w:val="008445D1"/>
    <w:rsid w:val="00844705"/>
    <w:rsid w:val="00844956"/>
    <w:rsid w:val="00844A30"/>
    <w:rsid w:val="00846402"/>
    <w:rsid w:val="00846569"/>
    <w:rsid w:val="008503D8"/>
    <w:rsid w:val="00850FF5"/>
    <w:rsid w:val="00851D69"/>
    <w:rsid w:val="00854C8A"/>
    <w:rsid w:val="00855DE4"/>
    <w:rsid w:val="00857129"/>
    <w:rsid w:val="008572E6"/>
    <w:rsid w:val="008627EC"/>
    <w:rsid w:val="00862C36"/>
    <w:rsid w:val="00862C63"/>
    <w:rsid w:val="00862C8A"/>
    <w:rsid w:val="00862D06"/>
    <w:rsid w:val="00863119"/>
    <w:rsid w:val="00863520"/>
    <w:rsid w:val="00863BAD"/>
    <w:rsid w:val="00863FED"/>
    <w:rsid w:val="0086411A"/>
    <w:rsid w:val="008648A0"/>
    <w:rsid w:val="00865133"/>
    <w:rsid w:val="00870A78"/>
    <w:rsid w:val="008712B3"/>
    <w:rsid w:val="0087130A"/>
    <w:rsid w:val="00871ABE"/>
    <w:rsid w:val="0087251D"/>
    <w:rsid w:val="00872B24"/>
    <w:rsid w:val="00872FC1"/>
    <w:rsid w:val="00872FD7"/>
    <w:rsid w:val="00873328"/>
    <w:rsid w:val="008737EB"/>
    <w:rsid w:val="00873AA9"/>
    <w:rsid w:val="00874FFD"/>
    <w:rsid w:val="008753D2"/>
    <w:rsid w:val="008770BA"/>
    <w:rsid w:val="00877117"/>
    <w:rsid w:val="008773B0"/>
    <w:rsid w:val="00880DDC"/>
    <w:rsid w:val="00881D5B"/>
    <w:rsid w:val="00881D9B"/>
    <w:rsid w:val="008836B5"/>
    <w:rsid w:val="00884963"/>
    <w:rsid w:val="00884AD6"/>
    <w:rsid w:val="00885122"/>
    <w:rsid w:val="008852A1"/>
    <w:rsid w:val="00885B26"/>
    <w:rsid w:val="00885FFE"/>
    <w:rsid w:val="00886B1E"/>
    <w:rsid w:val="00887605"/>
    <w:rsid w:val="00887C95"/>
    <w:rsid w:val="008915A3"/>
    <w:rsid w:val="0089255C"/>
    <w:rsid w:val="00893145"/>
    <w:rsid w:val="00893459"/>
    <w:rsid w:val="0089353B"/>
    <w:rsid w:val="00893868"/>
    <w:rsid w:val="008939EE"/>
    <w:rsid w:val="00893B68"/>
    <w:rsid w:val="00893B92"/>
    <w:rsid w:val="00893C6B"/>
    <w:rsid w:val="008950B3"/>
    <w:rsid w:val="008961E0"/>
    <w:rsid w:val="008973FF"/>
    <w:rsid w:val="0089743F"/>
    <w:rsid w:val="00897649"/>
    <w:rsid w:val="008A0226"/>
    <w:rsid w:val="008A0F9F"/>
    <w:rsid w:val="008A16E7"/>
    <w:rsid w:val="008A1DE4"/>
    <w:rsid w:val="008A1E1B"/>
    <w:rsid w:val="008A362B"/>
    <w:rsid w:val="008A3B00"/>
    <w:rsid w:val="008A5341"/>
    <w:rsid w:val="008A5B5B"/>
    <w:rsid w:val="008A5DB8"/>
    <w:rsid w:val="008A65D8"/>
    <w:rsid w:val="008A6685"/>
    <w:rsid w:val="008A680D"/>
    <w:rsid w:val="008A6C2F"/>
    <w:rsid w:val="008A7953"/>
    <w:rsid w:val="008A79D6"/>
    <w:rsid w:val="008B0C86"/>
    <w:rsid w:val="008B1B51"/>
    <w:rsid w:val="008B26C4"/>
    <w:rsid w:val="008B37EF"/>
    <w:rsid w:val="008B4310"/>
    <w:rsid w:val="008B4724"/>
    <w:rsid w:val="008B4909"/>
    <w:rsid w:val="008B4B08"/>
    <w:rsid w:val="008B4E20"/>
    <w:rsid w:val="008B5A3C"/>
    <w:rsid w:val="008B5AE2"/>
    <w:rsid w:val="008B5D5A"/>
    <w:rsid w:val="008B5E02"/>
    <w:rsid w:val="008B659F"/>
    <w:rsid w:val="008B667B"/>
    <w:rsid w:val="008B71A4"/>
    <w:rsid w:val="008B7CBF"/>
    <w:rsid w:val="008C07E6"/>
    <w:rsid w:val="008C12B1"/>
    <w:rsid w:val="008C1970"/>
    <w:rsid w:val="008C1F36"/>
    <w:rsid w:val="008C223F"/>
    <w:rsid w:val="008C2965"/>
    <w:rsid w:val="008C32CE"/>
    <w:rsid w:val="008C33A9"/>
    <w:rsid w:val="008C33EC"/>
    <w:rsid w:val="008C3A08"/>
    <w:rsid w:val="008C3BEF"/>
    <w:rsid w:val="008C52E4"/>
    <w:rsid w:val="008C68E2"/>
    <w:rsid w:val="008C6D61"/>
    <w:rsid w:val="008C70A8"/>
    <w:rsid w:val="008C73B0"/>
    <w:rsid w:val="008C77B0"/>
    <w:rsid w:val="008C77BA"/>
    <w:rsid w:val="008C7930"/>
    <w:rsid w:val="008C7E44"/>
    <w:rsid w:val="008D0A28"/>
    <w:rsid w:val="008D1C64"/>
    <w:rsid w:val="008D1E95"/>
    <w:rsid w:val="008D1F68"/>
    <w:rsid w:val="008D2EA8"/>
    <w:rsid w:val="008D3212"/>
    <w:rsid w:val="008D32BC"/>
    <w:rsid w:val="008D3DF4"/>
    <w:rsid w:val="008D3E97"/>
    <w:rsid w:val="008D4D4A"/>
    <w:rsid w:val="008D4F73"/>
    <w:rsid w:val="008D52C1"/>
    <w:rsid w:val="008D5374"/>
    <w:rsid w:val="008D5C01"/>
    <w:rsid w:val="008D5E1E"/>
    <w:rsid w:val="008D6667"/>
    <w:rsid w:val="008D67E7"/>
    <w:rsid w:val="008D6848"/>
    <w:rsid w:val="008D6DFE"/>
    <w:rsid w:val="008D74BA"/>
    <w:rsid w:val="008E02A2"/>
    <w:rsid w:val="008E1076"/>
    <w:rsid w:val="008E28F7"/>
    <w:rsid w:val="008E2A6E"/>
    <w:rsid w:val="008E34CE"/>
    <w:rsid w:val="008E3788"/>
    <w:rsid w:val="008E3C17"/>
    <w:rsid w:val="008E3E7D"/>
    <w:rsid w:val="008E3FEB"/>
    <w:rsid w:val="008E49E1"/>
    <w:rsid w:val="008E5AF1"/>
    <w:rsid w:val="008E62F3"/>
    <w:rsid w:val="008E68C5"/>
    <w:rsid w:val="008E722F"/>
    <w:rsid w:val="008E750F"/>
    <w:rsid w:val="008E76C7"/>
    <w:rsid w:val="008E7E0B"/>
    <w:rsid w:val="008F0F07"/>
    <w:rsid w:val="008F129C"/>
    <w:rsid w:val="008F1726"/>
    <w:rsid w:val="008F1B8F"/>
    <w:rsid w:val="008F290E"/>
    <w:rsid w:val="008F2A13"/>
    <w:rsid w:val="008F30B5"/>
    <w:rsid w:val="008F3529"/>
    <w:rsid w:val="008F3D8F"/>
    <w:rsid w:val="008F42BD"/>
    <w:rsid w:val="008F5C46"/>
    <w:rsid w:val="008F68B0"/>
    <w:rsid w:val="008F760B"/>
    <w:rsid w:val="00900793"/>
    <w:rsid w:val="00900AC5"/>
    <w:rsid w:val="00900EFA"/>
    <w:rsid w:val="009013C6"/>
    <w:rsid w:val="00901569"/>
    <w:rsid w:val="00903D1A"/>
    <w:rsid w:val="00904A43"/>
    <w:rsid w:val="009059D7"/>
    <w:rsid w:val="00906004"/>
    <w:rsid w:val="0090664A"/>
    <w:rsid w:val="00906BD9"/>
    <w:rsid w:val="00906FA5"/>
    <w:rsid w:val="00907DB9"/>
    <w:rsid w:val="009108A1"/>
    <w:rsid w:val="00910B0D"/>
    <w:rsid w:val="00910DA9"/>
    <w:rsid w:val="00911CE5"/>
    <w:rsid w:val="00912E8F"/>
    <w:rsid w:val="009137B2"/>
    <w:rsid w:val="00913DFB"/>
    <w:rsid w:val="009140AC"/>
    <w:rsid w:val="009142A3"/>
    <w:rsid w:val="00916017"/>
    <w:rsid w:val="009172E9"/>
    <w:rsid w:val="00917D34"/>
    <w:rsid w:val="00920490"/>
    <w:rsid w:val="009209E5"/>
    <w:rsid w:val="00920B07"/>
    <w:rsid w:val="00920C08"/>
    <w:rsid w:val="009215B6"/>
    <w:rsid w:val="00921C3B"/>
    <w:rsid w:val="00921C53"/>
    <w:rsid w:val="00921D3E"/>
    <w:rsid w:val="00922A71"/>
    <w:rsid w:val="00922B98"/>
    <w:rsid w:val="00924DAD"/>
    <w:rsid w:val="00925518"/>
    <w:rsid w:val="00925D8A"/>
    <w:rsid w:val="009260AC"/>
    <w:rsid w:val="00926346"/>
    <w:rsid w:val="009263A2"/>
    <w:rsid w:val="00926E5D"/>
    <w:rsid w:val="00926EAF"/>
    <w:rsid w:val="009276C8"/>
    <w:rsid w:val="00927742"/>
    <w:rsid w:val="009278AB"/>
    <w:rsid w:val="00930668"/>
    <w:rsid w:val="00930EFD"/>
    <w:rsid w:val="009314C6"/>
    <w:rsid w:val="0093163A"/>
    <w:rsid w:val="00931AF3"/>
    <w:rsid w:val="00931E85"/>
    <w:rsid w:val="00931F06"/>
    <w:rsid w:val="0093241F"/>
    <w:rsid w:val="00933875"/>
    <w:rsid w:val="00934655"/>
    <w:rsid w:val="00934A0A"/>
    <w:rsid w:val="0093649F"/>
    <w:rsid w:val="00936DEA"/>
    <w:rsid w:val="00936E2C"/>
    <w:rsid w:val="00940745"/>
    <w:rsid w:val="00940A99"/>
    <w:rsid w:val="00940D6A"/>
    <w:rsid w:val="00940F12"/>
    <w:rsid w:val="00941A90"/>
    <w:rsid w:val="00942582"/>
    <w:rsid w:val="00942809"/>
    <w:rsid w:val="009431F2"/>
    <w:rsid w:val="0094329A"/>
    <w:rsid w:val="00943E22"/>
    <w:rsid w:val="0094416D"/>
    <w:rsid w:val="0094481A"/>
    <w:rsid w:val="009450D1"/>
    <w:rsid w:val="00945844"/>
    <w:rsid w:val="00945B53"/>
    <w:rsid w:val="009470AE"/>
    <w:rsid w:val="00950AC6"/>
    <w:rsid w:val="00950E39"/>
    <w:rsid w:val="009513DD"/>
    <w:rsid w:val="00951A47"/>
    <w:rsid w:val="00951E7B"/>
    <w:rsid w:val="009522E8"/>
    <w:rsid w:val="009525BD"/>
    <w:rsid w:val="00952723"/>
    <w:rsid w:val="00952863"/>
    <w:rsid w:val="00952BF5"/>
    <w:rsid w:val="00954120"/>
    <w:rsid w:val="00954222"/>
    <w:rsid w:val="0095462C"/>
    <w:rsid w:val="00954BB9"/>
    <w:rsid w:val="009557D0"/>
    <w:rsid w:val="00955E65"/>
    <w:rsid w:val="00956B3E"/>
    <w:rsid w:val="0095701C"/>
    <w:rsid w:val="00957929"/>
    <w:rsid w:val="00960117"/>
    <w:rsid w:val="00960708"/>
    <w:rsid w:val="009608B7"/>
    <w:rsid w:val="00960D59"/>
    <w:rsid w:val="00961657"/>
    <w:rsid w:val="00961706"/>
    <w:rsid w:val="009629C2"/>
    <w:rsid w:val="00962B61"/>
    <w:rsid w:val="00962F1C"/>
    <w:rsid w:val="009630F0"/>
    <w:rsid w:val="00964509"/>
    <w:rsid w:val="009657C3"/>
    <w:rsid w:val="0096581A"/>
    <w:rsid w:val="00966352"/>
    <w:rsid w:val="00966C87"/>
    <w:rsid w:val="00966CA2"/>
    <w:rsid w:val="0096739B"/>
    <w:rsid w:val="0096767F"/>
    <w:rsid w:val="0097073F"/>
    <w:rsid w:val="009708CF"/>
    <w:rsid w:val="00970DAD"/>
    <w:rsid w:val="00971698"/>
    <w:rsid w:val="00973B8D"/>
    <w:rsid w:val="00974501"/>
    <w:rsid w:val="009756D2"/>
    <w:rsid w:val="00975FD4"/>
    <w:rsid w:val="00976895"/>
    <w:rsid w:val="00976E8C"/>
    <w:rsid w:val="0097708C"/>
    <w:rsid w:val="00977426"/>
    <w:rsid w:val="009774FA"/>
    <w:rsid w:val="00977626"/>
    <w:rsid w:val="00977BCB"/>
    <w:rsid w:val="0098032D"/>
    <w:rsid w:val="0098080B"/>
    <w:rsid w:val="00981153"/>
    <w:rsid w:val="00981D53"/>
    <w:rsid w:val="00981DBD"/>
    <w:rsid w:val="00981FE9"/>
    <w:rsid w:val="0098291C"/>
    <w:rsid w:val="00982B16"/>
    <w:rsid w:val="00983616"/>
    <w:rsid w:val="00983D02"/>
    <w:rsid w:val="00983FF2"/>
    <w:rsid w:val="009847C0"/>
    <w:rsid w:val="009854E7"/>
    <w:rsid w:val="00986312"/>
    <w:rsid w:val="00986599"/>
    <w:rsid w:val="00986F00"/>
    <w:rsid w:val="009875A1"/>
    <w:rsid w:val="009875F3"/>
    <w:rsid w:val="00990447"/>
    <w:rsid w:val="00990CBD"/>
    <w:rsid w:val="009915EB"/>
    <w:rsid w:val="009918E8"/>
    <w:rsid w:val="0099238F"/>
    <w:rsid w:val="009924DC"/>
    <w:rsid w:val="00992522"/>
    <w:rsid w:val="00992BA5"/>
    <w:rsid w:val="00992D7D"/>
    <w:rsid w:val="00992F3B"/>
    <w:rsid w:val="00992FC7"/>
    <w:rsid w:val="00993770"/>
    <w:rsid w:val="00994677"/>
    <w:rsid w:val="009946F3"/>
    <w:rsid w:val="009949A7"/>
    <w:rsid w:val="0099557F"/>
    <w:rsid w:val="00996628"/>
    <w:rsid w:val="009966FC"/>
    <w:rsid w:val="009968C5"/>
    <w:rsid w:val="00996CCD"/>
    <w:rsid w:val="00997288"/>
    <w:rsid w:val="009973E3"/>
    <w:rsid w:val="0099769E"/>
    <w:rsid w:val="00997CF9"/>
    <w:rsid w:val="009A05E5"/>
    <w:rsid w:val="009A0B70"/>
    <w:rsid w:val="009A0E67"/>
    <w:rsid w:val="009A10AC"/>
    <w:rsid w:val="009A16FB"/>
    <w:rsid w:val="009A17C4"/>
    <w:rsid w:val="009A23AB"/>
    <w:rsid w:val="009A252F"/>
    <w:rsid w:val="009A2859"/>
    <w:rsid w:val="009A2E7D"/>
    <w:rsid w:val="009A39A9"/>
    <w:rsid w:val="009A3A87"/>
    <w:rsid w:val="009A405C"/>
    <w:rsid w:val="009A4153"/>
    <w:rsid w:val="009A4630"/>
    <w:rsid w:val="009A479A"/>
    <w:rsid w:val="009A520A"/>
    <w:rsid w:val="009A5404"/>
    <w:rsid w:val="009A61FE"/>
    <w:rsid w:val="009A6AB5"/>
    <w:rsid w:val="009A7A9B"/>
    <w:rsid w:val="009A7E1A"/>
    <w:rsid w:val="009B065C"/>
    <w:rsid w:val="009B09B6"/>
    <w:rsid w:val="009B0D3A"/>
    <w:rsid w:val="009B142D"/>
    <w:rsid w:val="009B1CBA"/>
    <w:rsid w:val="009B1EF9"/>
    <w:rsid w:val="009B2B15"/>
    <w:rsid w:val="009B2E50"/>
    <w:rsid w:val="009B35E5"/>
    <w:rsid w:val="009B4752"/>
    <w:rsid w:val="009B4D50"/>
    <w:rsid w:val="009B5264"/>
    <w:rsid w:val="009B58F8"/>
    <w:rsid w:val="009B5D08"/>
    <w:rsid w:val="009B64EA"/>
    <w:rsid w:val="009B783C"/>
    <w:rsid w:val="009B7AA5"/>
    <w:rsid w:val="009B7E00"/>
    <w:rsid w:val="009C07FF"/>
    <w:rsid w:val="009C0B4C"/>
    <w:rsid w:val="009C13FB"/>
    <w:rsid w:val="009C22A5"/>
    <w:rsid w:val="009C266E"/>
    <w:rsid w:val="009C3023"/>
    <w:rsid w:val="009C30E8"/>
    <w:rsid w:val="009C38A2"/>
    <w:rsid w:val="009C3FA6"/>
    <w:rsid w:val="009C46E6"/>
    <w:rsid w:val="009C47EF"/>
    <w:rsid w:val="009C5E40"/>
    <w:rsid w:val="009C5F52"/>
    <w:rsid w:val="009C6AE8"/>
    <w:rsid w:val="009D0CBE"/>
    <w:rsid w:val="009D13CE"/>
    <w:rsid w:val="009D1673"/>
    <w:rsid w:val="009D180E"/>
    <w:rsid w:val="009D1ADE"/>
    <w:rsid w:val="009D20D0"/>
    <w:rsid w:val="009D2790"/>
    <w:rsid w:val="009D2831"/>
    <w:rsid w:val="009D2BA2"/>
    <w:rsid w:val="009D36EB"/>
    <w:rsid w:val="009D3CCD"/>
    <w:rsid w:val="009D52D0"/>
    <w:rsid w:val="009D5517"/>
    <w:rsid w:val="009D5B44"/>
    <w:rsid w:val="009D7237"/>
    <w:rsid w:val="009D74E8"/>
    <w:rsid w:val="009D76C9"/>
    <w:rsid w:val="009D796C"/>
    <w:rsid w:val="009D7BAB"/>
    <w:rsid w:val="009D7C71"/>
    <w:rsid w:val="009E01D2"/>
    <w:rsid w:val="009E0A5E"/>
    <w:rsid w:val="009E0F64"/>
    <w:rsid w:val="009E1BDC"/>
    <w:rsid w:val="009E203D"/>
    <w:rsid w:val="009E22CE"/>
    <w:rsid w:val="009E22F8"/>
    <w:rsid w:val="009E355E"/>
    <w:rsid w:val="009E3A91"/>
    <w:rsid w:val="009E3C9B"/>
    <w:rsid w:val="009E4181"/>
    <w:rsid w:val="009E4193"/>
    <w:rsid w:val="009E51F3"/>
    <w:rsid w:val="009E56BC"/>
    <w:rsid w:val="009E5B13"/>
    <w:rsid w:val="009E5C5E"/>
    <w:rsid w:val="009E60E8"/>
    <w:rsid w:val="009E60F8"/>
    <w:rsid w:val="009E612D"/>
    <w:rsid w:val="009E6B89"/>
    <w:rsid w:val="009E6E6A"/>
    <w:rsid w:val="009E72AE"/>
    <w:rsid w:val="009E7499"/>
    <w:rsid w:val="009E7598"/>
    <w:rsid w:val="009F06D5"/>
    <w:rsid w:val="009F1708"/>
    <w:rsid w:val="009F18B9"/>
    <w:rsid w:val="009F1FB0"/>
    <w:rsid w:val="009F266E"/>
    <w:rsid w:val="009F3699"/>
    <w:rsid w:val="009F3835"/>
    <w:rsid w:val="009F4D60"/>
    <w:rsid w:val="009F5EFC"/>
    <w:rsid w:val="009F75C2"/>
    <w:rsid w:val="009F7DF8"/>
    <w:rsid w:val="00A0048E"/>
    <w:rsid w:val="00A00980"/>
    <w:rsid w:val="00A00D7A"/>
    <w:rsid w:val="00A00D82"/>
    <w:rsid w:val="00A012DB"/>
    <w:rsid w:val="00A01611"/>
    <w:rsid w:val="00A01A1D"/>
    <w:rsid w:val="00A01FE7"/>
    <w:rsid w:val="00A02006"/>
    <w:rsid w:val="00A02E66"/>
    <w:rsid w:val="00A02FD5"/>
    <w:rsid w:val="00A040A6"/>
    <w:rsid w:val="00A04603"/>
    <w:rsid w:val="00A0478D"/>
    <w:rsid w:val="00A05C72"/>
    <w:rsid w:val="00A06828"/>
    <w:rsid w:val="00A068F5"/>
    <w:rsid w:val="00A06ADD"/>
    <w:rsid w:val="00A078A8"/>
    <w:rsid w:val="00A07DC7"/>
    <w:rsid w:val="00A07ED0"/>
    <w:rsid w:val="00A105C7"/>
    <w:rsid w:val="00A105F9"/>
    <w:rsid w:val="00A10663"/>
    <w:rsid w:val="00A107AA"/>
    <w:rsid w:val="00A108DD"/>
    <w:rsid w:val="00A10AA7"/>
    <w:rsid w:val="00A10CE9"/>
    <w:rsid w:val="00A111F8"/>
    <w:rsid w:val="00A11ED8"/>
    <w:rsid w:val="00A121B3"/>
    <w:rsid w:val="00A129EF"/>
    <w:rsid w:val="00A132A0"/>
    <w:rsid w:val="00A13DE0"/>
    <w:rsid w:val="00A1414C"/>
    <w:rsid w:val="00A14443"/>
    <w:rsid w:val="00A14CA8"/>
    <w:rsid w:val="00A15135"/>
    <w:rsid w:val="00A15848"/>
    <w:rsid w:val="00A15A8B"/>
    <w:rsid w:val="00A16298"/>
    <w:rsid w:val="00A16D98"/>
    <w:rsid w:val="00A16F68"/>
    <w:rsid w:val="00A20452"/>
    <w:rsid w:val="00A210ED"/>
    <w:rsid w:val="00A213FD"/>
    <w:rsid w:val="00A21F8C"/>
    <w:rsid w:val="00A22383"/>
    <w:rsid w:val="00A229BF"/>
    <w:rsid w:val="00A229FA"/>
    <w:rsid w:val="00A2341D"/>
    <w:rsid w:val="00A237A2"/>
    <w:rsid w:val="00A23BB6"/>
    <w:rsid w:val="00A23C9F"/>
    <w:rsid w:val="00A259C3"/>
    <w:rsid w:val="00A263B6"/>
    <w:rsid w:val="00A26746"/>
    <w:rsid w:val="00A26895"/>
    <w:rsid w:val="00A269C2"/>
    <w:rsid w:val="00A26EF8"/>
    <w:rsid w:val="00A27EEE"/>
    <w:rsid w:val="00A305CB"/>
    <w:rsid w:val="00A30805"/>
    <w:rsid w:val="00A30A01"/>
    <w:rsid w:val="00A30A2A"/>
    <w:rsid w:val="00A3128E"/>
    <w:rsid w:val="00A3370D"/>
    <w:rsid w:val="00A33D4A"/>
    <w:rsid w:val="00A34C23"/>
    <w:rsid w:val="00A35D7C"/>
    <w:rsid w:val="00A36179"/>
    <w:rsid w:val="00A365A6"/>
    <w:rsid w:val="00A37942"/>
    <w:rsid w:val="00A37D73"/>
    <w:rsid w:val="00A400BE"/>
    <w:rsid w:val="00A40718"/>
    <w:rsid w:val="00A41FC0"/>
    <w:rsid w:val="00A423A6"/>
    <w:rsid w:val="00A42F61"/>
    <w:rsid w:val="00A4349A"/>
    <w:rsid w:val="00A43A84"/>
    <w:rsid w:val="00A44068"/>
    <w:rsid w:val="00A44336"/>
    <w:rsid w:val="00A4489E"/>
    <w:rsid w:val="00A448BB"/>
    <w:rsid w:val="00A44CBD"/>
    <w:rsid w:val="00A456D6"/>
    <w:rsid w:val="00A45EF7"/>
    <w:rsid w:val="00A4646E"/>
    <w:rsid w:val="00A46DE4"/>
    <w:rsid w:val="00A500C4"/>
    <w:rsid w:val="00A501EB"/>
    <w:rsid w:val="00A50597"/>
    <w:rsid w:val="00A5083D"/>
    <w:rsid w:val="00A514EE"/>
    <w:rsid w:val="00A515E1"/>
    <w:rsid w:val="00A522C6"/>
    <w:rsid w:val="00A52F80"/>
    <w:rsid w:val="00A53203"/>
    <w:rsid w:val="00A53822"/>
    <w:rsid w:val="00A543C7"/>
    <w:rsid w:val="00A54472"/>
    <w:rsid w:val="00A54861"/>
    <w:rsid w:val="00A5522E"/>
    <w:rsid w:val="00A55236"/>
    <w:rsid w:val="00A55E16"/>
    <w:rsid w:val="00A5649F"/>
    <w:rsid w:val="00A5706D"/>
    <w:rsid w:val="00A57BB3"/>
    <w:rsid w:val="00A602D8"/>
    <w:rsid w:val="00A6052F"/>
    <w:rsid w:val="00A60607"/>
    <w:rsid w:val="00A60AE1"/>
    <w:rsid w:val="00A61229"/>
    <w:rsid w:val="00A624CB"/>
    <w:rsid w:val="00A62869"/>
    <w:rsid w:val="00A6340A"/>
    <w:rsid w:val="00A63696"/>
    <w:rsid w:val="00A64E16"/>
    <w:rsid w:val="00A651C0"/>
    <w:rsid w:val="00A65EF7"/>
    <w:rsid w:val="00A66531"/>
    <w:rsid w:val="00A6675C"/>
    <w:rsid w:val="00A6792B"/>
    <w:rsid w:val="00A70936"/>
    <w:rsid w:val="00A70CB0"/>
    <w:rsid w:val="00A714E0"/>
    <w:rsid w:val="00A71BF6"/>
    <w:rsid w:val="00A71EC5"/>
    <w:rsid w:val="00A7209D"/>
    <w:rsid w:val="00A72B84"/>
    <w:rsid w:val="00A72F33"/>
    <w:rsid w:val="00A7391B"/>
    <w:rsid w:val="00A73E7E"/>
    <w:rsid w:val="00A74F9E"/>
    <w:rsid w:val="00A750B7"/>
    <w:rsid w:val="00A755D6"/>
    <w:rsid w:val="00A76353"/>
    <w:rsid w:val="00A76A57"/>
    <w:rsid w:val="00A770CF"/>
    <w:rsid w:val="00A7724E"/>
    <w:rsid w:val="00A772C2"/>
    <w:rsid w:val="00A77446"/>
    <w:rsid w:val="00A8042D"/>
    <w:rsid w:val="00A80A0C"/>
    <w:rsid w:val="00A814B2"/>
    <w:rsid w:val="00A8195B"/>
    <w:rsid w:val="00A82180"/>
    <w:rsid w:val="00A83131"/>
    <w:rsid w:val="00A83719"/>
    <w:rsid w:val="00A840B1"/>
    <w:rsid w:val="00A859A5"/>
    <w:rsid w:val="00A86EC8"/>
    <w:rsid w:val="00A871CB"/>
    <w:rsid w:val="00A872C3"/>
    <w:rsid w:val="00A87787"/>
    <w:rsid w:val="00A9032E"/>
    <w:rsid w:val="00A90648"/>
    <w:rsid w:val="00A90EEB"/>
    <w:rsid w:val="00A91E85"/>
    <w:rsid w:val="00A925FF"/>
    <w:rsid w:val="00A93ACA"/>
    <w:rsid w:val="00A93FB8"/>
    <w:rsid w:val="00A9530E"/>
    <w:rsid w:val="00A95C21"/>
    <w:rsid w:val="00A96907"/>
    <w:rsid w:val="00A97DC8"/>
    <w:rsid w:val="00AA0CFC"/>
    <w:rsid w:val="00AA10BD"/>
    <w:rsid w:val="00AA13AF"/>
    <w:rsid w:val="00AA19BC"/>
    <w:rsid w:val="00AA2FEC"/>
    <w:rsid w:val="00AA3B5E"/>
    <w:rsid w:val="00AA40B1"/>
    <w:rsid w:val="00AA483E"/>
    <w:rsid w:val="00AA48F8"/>
    <w:rsid w:val="00AA4B31"/>
    <w:rsid w:val="00AA5154"/>
    <w:rsid w:val="00AA56A5"/>
    <w:rsid w:val="00AA5C41"/>
    <w:rsid w:val="00AA71B0"/>
    <w:rsid w:val="00AA72AE"/>
    <w:rsid w:val="00AA76CB"/>
    <w:rsid w:val="00AB05CC"/>
    <w:rsid w:val="00AB0C42"/>
    <w:rsid w:val="00AB2491"/>
    <w:rsid w:val="00AB2720"/>
    <w:rsid w:val="00AB29B4"/>
    <w:rsid w:val="00AB2AC6"/>
    <w:rsid w:val="00AB38DF"/>
    <w:rsid w:val="00AB3BD3"/>
    <w:rsid w:val="00AB3EC0"/>
    <w:rsid w:val="00AB40A9"/>
    <w:rsid w:val="00AB4708"/>
    <w:rsid w:val="00AB4807"/>
    <w:rsid w:val="00AB4F1D"/>
    <w:rsid w:val="00AB5105"/>
    <w:rsid w:val="00AB594C"/>
    <w:rsid w:val="00AB5BEC"/>
    <w:rsid w:val="00AB66E8"/>
    <w:rsid w:val="00AB710A"/>
    <w:rsid w:val="00AB74B4"/>
    <w:rsid w:val="00AB7AFD"/>
    <w:rsid w:val="00AB7F1F"/>
    <w:rsid w:val="00AC0B39"/>
    <w:rsid w:val="00AC0DB7"/>
    <w:rsid w:val="00AC16A0"/>
    <w:rsid w:val="00AC16AE"/>
    <w:rsid w:val="00AC177D"/>
    <w:rsid w:val="00AC1CBD"/>
    <w:rsid w:val="00AC2918"/>
    <w:rsid w:val="00AC2BAE"/>
    <w:rsid w:val="00AC2C92"/>
    <w:rsid w:val="00AC335A"/>
    <w:rsid w:val="00AC399B"/>
    <w:rsid w:val="00AC3B20"/>
    <w:rsid w:val="00AC3B6D"/>
    <w:rsid w:val="00AC3BBF"/>
    <w:rsid w:val="00AC3EF0"/>
    <w:rsid w:val="00AC4842"/>
    <w:rsid w:val="00AC709E"/>
    <w:rsid w:val="00AC75B0"/>
    <w:rsid w:val="00AD03EE"/>
    <w:rsid w:val="00AD074A"/>
    <w:rsid w:val="00AD0A2A"/>
    <w:rsid w:val="00AD1133"/>
    <w:rsid w:val="00AD1239"/>
    <w:rsid w:val="00AD12CF"/>
    <w:rsid w:val="00AD1540"/>
    <w:rsid w:val="00AD18E1"/>
    <w:rsid w:val="00AD1D24"/>
    <w:rsid w:val="00AD3DBA"/>
    <w:rsid w:val="00AD422F"/>
    <w:rsid w:val="00AD472D"/>
    <w:rsid w:val="00AD4BE7"/>
    <w:rsid w:val="00AD5042"/>
    <w:rsid w:val="00AD56F3"/>
    <w:rsid w:val="00AD647D"/>
    <w:rsid w:val="00AD681C"/>
    <w:rsid w:val="00AD7923"/>
    <w:rsid w:val="00AE0356"/>
    <w:rsid w:val="00AE1A34"/>
    <w:rsid w:val="00AE27F1"/>
    <w:rsid w:val="00AE3640"/>
    <w:rsid w:val="00AE38C3"/>
    <w:rsid w:val="00AE4CCA"/>
    <w:rsid w:val="00AE4EC1"/>
    <w:rsid w:val="00AE597E"/>
    <w:rsid w:val="00AE5AD3"/>
    <w:rsid w:val="00AE609D"/>
    <w:rsid w:val="00AF114D"/>
    <w:rsid w:val="00AF1483"/>
    <w:rsid w:val="00AF2CEA"/>
    <w:rsid w:val="00AF3414"/>
    <w:rsid w:val="00AF39BA"/>
    <w:rsid w:val="00AF3AFB"/>
    <w:rsid w:val="00AF3DD9"/>
    <w:rsid w:val="00AF4790"/>
    <w:rsid w:val="00AF4A9D"/>
    <w:rsid w:val="00AF518B"/>
    <w:rsid w:val="00AF5328"/>
    <w:rsid w:val="00AF555D"/>
    <w:rsid w:val="00AF6F86"/>
    <w:rsid w:val="00AF7D0E"/>
    <w:rsid w:val="00B006B2"/>
    <w:rsid w:val="00B00F80"/>
    <w:rsid w:val="00B014C6"/>
    <w:rsid w:val="00B01DC0"/>
    <w:rsid w:val="00B01DCC"/>
    <w:rsid w:val="00B02393"/>
    <w:rsid w:val="00B02C8F"/>
    <w:rsid w:val="00B02CE2"/>
    <w:rsid w:val="00B04440"/>
    <w:rsid w:val="00B044D5"/>
    <w:rsid w:val="00B04883"/>
    <w:rsid w:val="00B050A3"/>
    <w:rsid w:val="00B05DB9"/>
    <w:rsid w:val="00B06DC9"/>
    <w:rsid w:val="00B07127"/>
    <w:rsid w:val="00B07D77"/>
    <w:rsid w:val="00B07F1F"/>
    <w:rsid w:val="00B07F5A"/>
    <w:rsid w:val="00B1067B"/>
    <w:rsid w:val="00B12AAE"/>
    <w:rsid w:val="00B13889"/>
    <w:rsid w:val="00B13DDE"/>
    <w:rsid w:val="00B14499"/>
    <w:rsid w:val="00B144AC"/>
    <w:rsid w:val="00B14767"/>
    <w:rsid w:val="00B147CF"/>
    <w:rsid w:val="00B149A8"/>
    <w:rsid w:val="00B15A0C"/>
    <w:rsid w:val="00B1604D"/>
    <w:rsid w:val="00B166C3"/>
    <w:rsid w:val="00B16B6C"/>
    <w:rsid w:val="00B1701B"/>
    <w:rsid w:val="00B170E8"/>
    <w:rsid w:val="00B1743D"/>
    <w:rsid w:val="00B17CAF"/>
    <w:rsid w:val="00B17D3D"/>
    <w:rsid w:val="00B2036A"/>
    <w:rsid w:val="00B20787"/>
    <w:rsid w:val="00B208EA"/>
    <w:rsid w:val="00B21112"/>
    <w:rsid w:val="00B22D2A"/>
    <w:rsid w:val="00B22D59"/>
    <w:rsid w:val="00B23243"/>
    <w:rsid w:val="00B23802"/>
    <w:rsid w:val="00B242E2"/>
    <w:rsid w:val="00B24D19"/>
    <w:rsid w:val="00B252DC"/>
    <w:rsid w:val="00B258ED"/>
    <w:rsid w:val="00B26BF2"/>
    <w:rsid w:val="00B2793E"/>
    <w:rsid w:val="00B30167"/>
    <w:rsid w:val="00B30950"/>
    <w:rsid w:val="00B30A86"/>
    <w:rsid w:val="00B3120A"/>
    <w:rsid w:val="00B31628"/>
    <w:rsid w:val="00B316BF"/>
    <w:rsid w:val="00B3192B"/>
    <w:rsid w:val="00B31D12"/>
    <w:rsid w:val="00B32145"/>
    <w:rsid w:val="00B3292D"/>
    <w:rsid w:val="00B32BDE"/>
    <w:rsid w:val="00B32F4C"/>
    <w:rsid w:val="00B32FF3"/>
    <w:rsid w:val="00B330C4"/>
    <w:rsid w:val="00B33886"/>
    <w:rsid w:val="00B33D93"/>
    <w:rsid w:val="00B33F78"/>
    <w:rsid w:val="00B342A1"/>
    <w:rsid w:val="00B346CC"/>
    <w:rsid w:val="00B3487C"/>
    <w:rsid w:val="00B348F5"/>
    <w:rsid w:val="00B34901"/>
    <w:rsid w:val="00B352FD"/>
    <w:rsid w:val="00B3580F"/>
    <w:rsid w:val="00B36D99"/>
    <w:rsid w:val="00B3700B"/>
    <w:rsid w:val="00B3790E"/>
    <w:rsid w:val="00B4021E"/>
    <w:rsid w:val="00B40475"/>
    <w:rsid w:val="00B409D8"/>
    <w:rsid w:val="00B40A68"/>
    <w:rsid w:val="00B411BB"/>
    <w:rsid w:val="00B417CA"/>
    <w:rsid w:val="00B41AC3"/>
    <w:rsid w:val="00B42608"/>
    <w:rsid w:val="00B42856"/>
    <w:rsid w:val="00B42DAC"/>
    <w:rsid w:val="00B4314B"/>
    <w:rsid w:val="00B43228"/>
    <w:rsid w:val="00B438FC"/>
    <w:rsid w:val="00B44255"/>
    <w:rsid w:val="00B44583"/>
    <w:rsid w:val="00B45668"/>
    <w:rsid w:val="00B46113"/>
    <w:rsid w:val="00B476BE"/>
    <w:rsid w:val="00B47962"/>
    <w:rsid w:val="00B505E9"/>
    <w:rsid w:val="00B50694"/>
    <w:rsid w:val="00B510BE"/>
    <w:rsid w:val="00B51F08"/>
    <w:rsid w:val="00B529A3"/>
    <w:rsid w:val="00B52C55"/>
    <w:rsid w:val="00B52C90"/>
    <w:rsid w:val="00B52FC1"/>
    <w:rsid w:val="00B53256"/>
    <w:rsid w:val="00B53E13"/>
    <w:rsid w:val="00B54E41"/>
    <w:rsid w:val="00B556B5"/>
    <w:rsid w:val="00B55E2B"/>
    <w:rsid w:val="00B57941"/>
    <w:rsid w:val="00B60083"/>
    <w:rsid w:val="00B604DE"/>
    <w:rsid w:val="00B63449"/>
    <w:rsid w:val="00B63732"/>
    <w:rsid w:val="00B642EB"/>
    <w:rsid w:val="00B6444B"/>
    <w:rsid w:val="00B64B73"/>
    <w:rsid w:val="00B64F18"/>
    <w:rsid w:val="00B6593E"/>
    <w:rsid w:val="00B65BE5"/>
    <w:rsid w:val="00B65FF2"/>
    <w:rsid w:val="00B66DDD"/>
    <w:rsid w:val="00B66E83"/>
    <w:rsid w:val="00B6739E"/>
    <w:rsid w:val="00B678ED"/>
    <w:rsid w:val="00B67981"/>
    <w:rsid w:val="00B715ED"/>
    <w:rsid w:val="00B71F1D"/>
    <w:rsid w:val="00B72444"/>
    <w:rsid w:val="00B726BF"/>
    <w:rsid w:val="00B754FA"/>
    <w:rsid w:val="00B7673B"/>
    <w:rsid w:val="00B76DBA"/>
    <w:rsid w:val="00B778A3"/>
    <w:rsid w:val="00B77F85"/>
    <w:rsid w:val="00B80BA9"/>
    <w:rsid w:val="00B811D0"/>
    <w:rsid w:val="00B815AD"/>
    <w:rsid w:val="00B81728"/>
    <w:rsid w:val="00B81981"/>
    <w:rsid w:val="00B82669"/>
    <w:rsid w:val="00B82BA0"/>
    <w:rsid w:val="00B840E2"/>
    <w:rsid w:val="00B84514"/>
    <w:rsid w:val="00B84EB8"/>
    <w:rsid w:val="00B8504D"/>
    <w:rsid w:val="00B856F8"/>
    <w:rsid w:val="00B859A7"/>
    <w:rsid w:val="00B85F1F"/>
    <w:rsid w:val="00B86138"/>
    <w:rsid w:val="00B8613F"/>
    <w:rsid w:val="00B86A4F"/>
    <w:rsid w:val="00B876FB"/>
    <w:rsid w:val="00B87FD4"/>
    <w:rsid w:val="00B903A7"/>
    <w:rsid w:val="00B9108B"/>
    <w:rsid w:val="00B91A18"/>
    <w:rsid w:val="00B92A5E"/>
    <w:rsid w:val="00B92F4C"/>
    <w:rsid w:val="00B92FB1"/>
    <w:rsid w:val="00B93B11"/>
    <w:rsid w:val="00B944B8"/>
    <w:rsid w:val="00B947B3"/>
    <w:rsid w:val="00B94BB0"/>
    <w:rsid w:val="00B95260"/>
    <w:rsid w:val="00B9532B"/>
    <w:rsid w:val="00B954B5"/>
    <w:rsid w:val="00B9560C"/>
    <w:rsid w:val="00B95C88"/>
    <w:rsid w:val="00B95EDF"/>
    <w:rsid w:val="00B96408"/>
    <w:rsid w:val="00B97512"/>
    <w:rsid w:val="00B97AA2"/>
    <w:rsid w:val="00B97EA5"/>
    <w:rsid w:val="00BA013E"/>
    <w:rsid w:val="00BA0307"/>
    <w:rsid w:val="00BA0999"/>
    <w:rsid w:val="00BA0FAC"/>
    <w:rsid w:val="00BA1012"/>
    <w:rsid w:val="00BA19C9"/>
    <w:rsid w:val="00BA229E"/>
    <w:rsid w:val="00BA2635"/>
    <w:rsid w:val="00BA2DAC"/>
    <w:rsid w:val="00BA2EF0"/>
    <w:rsid w:val="00BA3465"/>
    <w:rsid w:val="00BA3A07"/>
    <w:rsid w:val="00BA4696"/>
    <w:rsid w:val="00BA49E4"/>
    <w:rsid w:val="00BA4C29"/>
    <w:rsid w:val="00BA60FB"/>
    <w:rsid w:val="00BA70A8"/>
    <w:rsid w:val="00BB0154"/>
    <w:rsid w:val="00BB092D"/>
    <w:rsid w:val="00BB15D6"/>
    <w:rsid w:val="00BB1AF6"/>
    <w:rsid w:val="00BB28DF"/>
    <w:rsid w:val="00BB2A2C"/>
    <w:rsid w:val="00BB2E96"/>
    <w:rsid w:val="00BB301F"/>
    <w:rsid w:val="00BB4073"/>
    <w:rsid w:val="00BB4C14"/>
    <w:rsid w:val="00BB50DA"/>
    <w:rsid w:val="00BB60E7"/>
    <w:rsid w:val="00BB6701"/>
    <w:rsid w:val="00BB6E36"/>
    <w:rsid w:val="00BB78C6"/>
    <w:rsid w:val="00BC0993"/>
    <w:rsid w:val="00BC0EFE"/>
    <w:rsid w:val="00BC0FF5"/>
    <w:rsid w:val="00BC12A2"/>
    <w:rsid w:val="00BC172E"/>
    <w:rsid w:val="00BC19E0"/>
    <w:rsid w:val="00BC1AA0"/>
    <w:rsid w:val="00BC1B44"/>
    <w:rsid w:val="00BC1E0C"/>
    <w:rsid w:val="00BC21FE"/>
    <w:rsid w:val="00BC22DF"/>
    <w:rsid w:val="00BC261D"/>
    <w:rsid w:val="00BC273E"/>
    <w:rsid w:val="00BC387E"/>
    <w:rsid w:val="00BC42C1"/>
    <w:rsid w:val="00BC432B"/>
    <w:rsid w:val="00BC4C49"/>
    <w:rsid w:val="00BC4D69"/>
    <w:rsid w:val="00BC610D"/>
    <w:rsid w:val="00BC643C"/>
    <w:rsid w:val="00BC7B29"/>
    <w:rsid w:val="00BC7C3E"/>
    <w:rsid w:val="00BC7D09"/>
    <w:rsid w:val="00BD0595"/>
    <w:rsid w:val="00BD07EA"/>
    <w:rsid w:val="00BD0BFF"/>
    <w:rsid w:val="00BD1A47"/>
    <w:rsid w:val="00BD30F7"/>
    <w:rsid w:val="00BD3CFF"/>
    <w:rsid w:val="00BD3E84"/>
    <w:rsid w:val="00BD4C84"/>
    <w:rsid w:val="00BD4C85"/>
    <w:rsid w:val="00BD4FDB"/>
    <w:rsid w:val="00BD593A"/>
    <w:rsid w:val="00BD62F4"/>
    <w:rsid w:val="00BD6B2E"/>
    <w:rsid w:val="00BD6CC2"/>
    <w:rsid w:val="00BD6FAD"/>
    <w:rsid w:val="00BD736B"/>
    <w:rsid w:val="00BD7CE4"/>
    <w:rsid w:val="00BE0104"/>
    <w:rsid w:val="00BE0421"/>
    <w:rsid w:val="00BE05CD"/>
    <w:rsid w:val="00BE0B3C"/>
    <w:rsid w:val="00BE1073"/>
    <w:rsid w:val="00BE13EA"/>
    <w:rsid w:val="00BE1AC0"/>
    <w:rsid w:val="00BE1B03"/>
    <w:rsid w:val="00BE24A4"/>
    <w:rsid w:val="00BE2B48"/>
    <w:rsid w:val="00BE2CAC"/>
    <w:rsid w:val="00BE2F8B"/>
    <w:rsid w:val="00BE308A"/>
    <w:rsid w:val="00BE30BC"/>
    <w:rsid w:val="00BE32E3"/>
    <w:rsid w:val="00BE38D6"/>
    <w:rsid w:val="00BE407A"/>
    <w:rsid w:val="00BE47EA"/>
    <w:rsid w:val="00BE49F0"/>
    <w:rsid w:val="00BE4EEB"/>
    <w:rsid w:val="00BE4FE7"/>
    <w:rsid w:val="00BE5231"/>
    <w:rsid w:val="00BE5492"/>
    <w:rsid w:val="00BE6459"/>
    <w:rsid w:val="00BE67C6"/>
    <w:rsid w:val="00BE684B"/>
    <w:rsid w:val="00BF0D96"/>
    <w:rsid w:val="00BF158F"/>
    <w:rsid w:val="00BF1AEB"/>
    <w:rsid w:val="00BF1C1D"/>
    <w:rsid w:val="00BF1DDC"/>
    <w:rsid w:val="00BF1F3D"/>
    <w:rsid w:val="00BF2FE3"/>
    <w:rsid w:val="00BF30D8"/>
    <w:rsid w:val="00BF3861"/>
    <w:rsid w:val="00BF3A10"/>
    <w:rsid w:val="00BF40FA"/>
    <w:rsid w:val="00BF4251"/>
    <w:rsid w:val="00BF4A11"/>
    <w:rsid w:val="00BF5245"/>
    <w:rsid w:val="00BF5A45"/>
    <w:rsid w:val="00BF670D"/>
    <w:rsid w:val="00BF6EF3"/>
    <w:rsid w:val="00BF70CA"/>
    <w:rsid w:val="00BF7C43"/>
    <w:rsid w:val="00C00052"/>
    <w:rsid w:val="00C00B3C"/>
    <w:rsid w:val="00C00EBE"/>
    <w:rsid w:val="00C01C2C"/>
    <w:rsid w:val="00C0241E"/>
    <w:rsid w:val="00C029A5"/>
    <w:rsid w:val="00C0432E"/>
    <w:rsid w:val="00C04ED6"/>
    <w:rsid w:val="00C06D1C"/>
    <w:rsid w:val="00C074A5"/>
    <w:rsid w:val="00C07755"/>
    <w:rsid w:val="00C10299"/>
    <w:rsid w:val="00C10B65"/>
    <w:rsid w:val="00C10B78"/>
    <w:rsid w:val="00C10E75"/>
    <w:rsid w:val="00C10F7A"/>
    <w:rsid w:val="00C11145"/>
    <w:rsid w:val="00C11442"/>
    <w:rsid w:val="00C1176D"/>
    <w:rsid w:val="00C11810"/>
    <w:rsid w:val="00C11C90"/>
    <w:rsid w:val="00C11DAE"/>
    <w:rsid w:val="00C125EA"/>
    <w:rsid w:val="00C129D1"/>
    <w:rsid w:val="00C12B20"/>
    <w:rsid w:val="00C12E18"/>
    <w:rsid w:val="00C13176"/>
    <w:rsid w:val="00C13A4B"/>
    <w:rsid w:val="00C13A6F"/>
    <w:rsid w:val="00C1563D"/>
    <w:rsid w:val="00C16B77"/>
    <w:rsid w:val="00C16F13"/>
    <w:rsid w:val="00C16F3D"/>
    <w:rsid w:val="00C1712C"/>
    <w:rsid w:val="00C17C34"/>
    <w:rsid w:val="00C17EF6"/>
    <w:rsid w:val="00C20153"/>
    <w:rsid w:val="00C203E9"/>
    <w:rsid w:val="00C21B90"/>
    <w:rsid w:val="00C22331"/>
    <w:rsid w:val="00C2265A"/>
    <w:rsid w:val="00C242CB"/>
    <w:rsid w:val="00C2476F"/>
    <w:rsid w:val="00C25F42"/>
    <w:rsid w:val="00C261E3"/>
    <w:rsid w:val="00C262A7"/>
    <w:rsid w:val="00C264CF"/>
    <w:rsid w:val="00C26EB2"/>
    <w:rsid w:val="00C27242"/>
    <w:rsid w:val="00C27401"/>
    <w:rsid w:val="00C275B8"/>
    <w:rsid w:val="00C30770"/>
    <w:rsid w:val="00C30A74"/>
    <w:rsid w:val="00C30F81"/>
    <w:rsid w:val="00C30FC1"/>
    <w:rsid w:val="00C316C8"/>
    <w:rsid w:val="00C31F14"/>
    <w:rsid w:val="00C32746"/>
    <w:rsid w:val="00C328D1"/>
    <w:rsid w:val="00C33DB3"/>
    <w:rsid w:val="00C34128"/>
    <w:rsid w:val="00C342D8"/>
    <w:rsid w:val="00C34784"/>
    <w:rsid w:val="00C34906"/>
    <w:rsid w:val="00C3540C"/>
    <w:rsid w:val="00C35AA9"/>
    <w:rsid w:val="00C36368"/>
    <w:rsid w:val="00C363A7"/>
    <w:rsid w:val="00C36976"/>
    <w:rsid w:val="00C37DDD"/>
    <w:rsid w:val="00C37F85"/>
    <w:rsid w:val="00C37FBD"/>
    <w:rsid w:val="00C40846"/>
    <w:rsid w:val="00C40B8D"/>
    <w:rsid w:val="00C43628"/>
    <w:rsid w:val="00C437AC"/>
    <w:rsid w:val="00C43D5B"/>
    <w:rsid w:val="00C44219"/>
    <w:rsid w:val="00C442A4"/>
    <w:rsid w:val="00C447D9"/>
    <w:rsid w:val="00C44B1B"/>
    <w:rsid w:val="00C44EF2"/>
    <w:rsid w:val="00C45033"/>
    <w:rsid w:val="00C45CBE"/>
    <w:rsid w:val="00C45D85"/>
    <w:rsid w:val="00C4628E"/>
    <w:rsid w:val="00C4732C"/>
    <w:rsid w:val="00C4745C"/>
    <w:rsid w:val="00C50A88"/>
    <w:rsid w:val="00C5156D"/>
    <w:rsid w:val="00C51D75"/>
    <w:rsid w:val="00C51E66"/>
    <w:rsid w:val="00C520F7"/>
    <w:rsid w:val="00C52715"/>
    <w:rsid w:val="00C5292B"/>
    <w:rsid w:val="00C52DA9"/>
    <w:rsid w:val="00C53031"/>
    <w:rsid w:val="00C531FD"/>
    <w:rsid w:val="00C53860"/>
    <w:rsid w:val="00C53FBA"/>
    <w:rsid w:val="00C54021"/>
    <w:rsid w:val="00C54134"/>
    <w:rsid w:val="00C5425D"/>
    <w:rsid w:val="00C545BE"/>
    <w:rsid w:val="00C54AB3"/>
    <w:rsid w:val="00C54B30"/>
    <w:rsid w:val="00C54D6D"/>
    <w:rsid w:val="00C5529D"/>
    <w:rsid w:val="00C55BD4"/>
    <w:rsid w:val="00C5633C"/>
    <w:rsid w:val="00C56438"/>
    <w:rsid w:val="00C5688A"/>
    <w:rsid w:val="00C569C7"/>
    <w:rsid w:val="00C56D19"/>
    <w:rsid w:val="00C57B90"/>
    <w:rsid w:val="00C60241"/>
    <w:rsid w:val="00C60A98"/>
    <w:rsid w:val="00C60C0A"/>
    <w:rsid w:val="00C62399"/>
    <w:rsid w:val="00C63C50"/>
    <w:rsid w:val="00C63F83"/>
    <w:rsid w:val="00C64765"/>
    <w:rsid w:val="00C64847"/>
    <w:rsid w:val="00C64900"/>
    <w:rsid w:val="00C64A97"/>
    <w:rsid w:val="00C64F9F"/>
    <w:rsid w:val="00C65588"/>
    <w:rsid w:val="00C67756"/>
    <w:rsid w:val="00C67EC2"/>
    <w:rsid w:val="00C7001A"/>
    <w:rsid w:val="00C7026E"/>
    <w:rsid w:val="00C7115F"/>
    <w:rsid w:val="00C71CB0"/>
    <w:rsid w:val="00C74040"/>
    <w:rsid w:val="00C74067"/>
    <w:rsid w:val="00C762CE"/>
    <w:rsid w:val="00C768C3"/>
    <w:rsid w:val="00C76C9C"/>
    <w:rsid w:val="00C77425"/>
    <w:rsid w:val="00C7776E"/>
    <w:rsid w:val="00C80015"/>
    <w:rsid w:val="00C80BAF"/>
    <w:rsid w:val="00C8105C"/>
    <w:rsid w:val="00C814F2"/>
    <w:rsid w:val="00C81B74"/>
    <w:rsid w:val="00C828B8"/>
    <w:rsid w:val="00C82EE4"/>
    <w:rsid w:val="00C83409"/>
    <w:rsid w:val="00C83A02"/>
    <w:rsid w:val="00C84C92"/>
    <w:rsid w:val="00C854EB"/>
    <w:rsid w:val="00C855D3"/>
    <w:rsid w:val="00C86027"/>
    <w:rsid w:val="00C8699B"/>
    <w:rsid w:val="00C8770E"/>
    <w:rsid w:val="00C878CF"/>
    <w:rsid w:val="00C87B9D"/>
    <w:rsid w:val="00C9073B"/>
    <w:rsid w:val="00C90AAE"/>
    <w:rsid w:val="00C90F89"/>
    <w:rsid w:val="00C90FB2"/>
    <w:rsid w:val="00C90FC5"/>
    <w:rsid w:val="00C911B7"/>
    <w:rsid w:val="00C91554"/>
    <w:rsid w:val="00C91761"/>
    <w:rsid w:val="00C91814"/>
    <w:rsid w:val="00C91F2E"/>
    <w:rsid w:val="00C92DB6"/>
    <w:rsid w:val="00C934AA"/>
    <w:rsid w:val="00C940A1"/>
    <w:rsid w:val="00C9495B"/>
    <w:rsid w:val="00C94CC5"/>
    <w:rsid w:val="00C94E96"/>
    <w:rsid w:val="00C95AAF"/>
    <w:rsid w:val="00C96498"/>
    <w:rsid w:val="00C97036"/>
    <w:rsid w:val="00C97C73"/>
    <w:rsid w:val="00C97FBA"/>
    <w:rsid w:val="00CA0B1D"/>
    <w:rsid w:val="00CA1040"/>
    <w:rsid w:val="00CA1294"/>
    <w:rsid w:val="00CA1580"/>
    <w:rsid w:val="00CA165E"/>
    <w:rsid w:val="00CA19F1"/>
    <w:rsid w:val="00CA21A0"/>
    <w:rsid w:val="00CA2361"/>
    <w:rsid w:val="00CA2564"/>
    <w:rsid w:val="00CA33FA"/>
    <w:rsid w:val="00CA4588"/>
    <w:rsid w:val="00CA47ED"/>
    <w:rsid w:val="00CA5088"/>
    <w:rsid w:val="00CA5361"/>
    <w:rsid w:val="00CA5B06"/>
    <w:rsid w:val="00CA6D55"/>
    <w:rsid w:val="00CA6EB1"/>
    <w:rsid w:val="00CA7026"/>
    <w:rsid w:val="00CA7774"/>
    <w:rsid w:val="00CA7C9D"/>
    <w:rsid w:val="00CA7EAB"/>
    <w:rsid w:val="00CB007C"/>
    <w:rsid w:val="00CB0435"/>
    <w:rsid w:val="00CB1251"/>
    <w:rsid w:val="00CB1CA0"/>
    <w:rsid w:val="00CB1F1A"/>
    <w:rsid w:val="00CB2489"/>
    <w:rsid w:val="00CB25CA"/>
    <w:rsid w:val="00CB276F"/>
    <w:rsid w:val="00CB2A8D"/>
    <w:rsid w:val="00CB3078"/>
    <w:rsid w:val="00CB38C8"/>
    <w:rsid w:val="00CB39D9"/>
    <w:rsid w:val="00CB3CA4"/>
    <w:rsid w:val="00CB4F80"/>
    <w:rsid w:val="00CB51C2"/>
    <w:rsid w:val="00CB52A3"/>
    <w:rsid w:val="00CB6BE7"/>
    <w:rsid w:val="00CC170E"/>
    <w:rsid w:val="00CC200E"/>
    <w:rsid w:val="00CC33F0"/>
    <w:rsid w:val="00CC3C75"/>
    <w:rsid w:val="00CC4047"/>
    <w:rsid w:val="00CC4453"/>
    <w:rsid w:val="00CC5578"/>
    <w:rsid w:val="00CC5E1C"/>
    <w:rsid w:val="00CC65D3"/>
    <w:rsid w:val="00CC68D7"/>
    <w:rsid w:val="00CC69AA"/>
    <w:rsid w:val="00CC6AB6"/>
    <w:rsid w:val="00CC7472"/>
    <w:rsid w:val="00CC79F7"/>
    <w:rsid w:val="00CC7A22"/>
    <w:rsid w:val="00CD047E"/>
    <w:rsid w:val="00CD22AB"/>
    <w:rsid w:val="00CD24A9"/>
    <w:rsid w:val="00CD2594"/>
    <w:rsid w:val="00CD2DC2"/>
    <w:rsid w:val="00CD333F"/>
    <w:rsid w:val="00CD3C44"/>
    <w:rsid w:val="00CD4110"/>
    <w:rsid w:val="00CD4636"/>
    <w:rsid w:val="00CD4B88"/>
    <w:rsid w:val="00CD4CB1"/>
    <w:rsid w:val="00CD51D6"/>
    <w:rsid w:val="00CD5A84"/>
    <w:rsid w:val="00CD5C42"/>
    <w:rsid w:val="00CD6DBF"/>
    <w:rsid w:val="00CD74BA"/>
    <w:rsid w:val="00CE1420"/>
    <w:rsid w:val="00CE149A"/>
    <w:rsid w:val="00CE1A4E"/>
    <w:rsid w:val="00CE1C4F"/>
    <w:rsid w:val="00CE242C"/>
    <w:rsid w:val="00CE2A75"/>
    <w:rsid w:val="00CE2EE7"/>
    <w:rsid w:val="00CE30F1"/>
    <w:rsid w:val="00CE3422"/>
    <w:rsid w:val="00CE366F"/>
    <w:rsid w:val="00CE3793"/>
    <w:rsid w:val="00CE3B79"/>
    <w:rsid w:val="00CE3DA0"/>
    <w:rsid w:val="00CE410F"/>
    <w:rsid w:val="00CE481D"/>
    <w:rsid w:val="00CE5939"/>
    <w:rsid w:val="00CE5BFE"/>
    <w:rsid w:val="00CE5C05"/>
    <w:rsid w:val="00CE67BA"/>
    <w:rsid w:val="00CE6A3E"/>
    <w:rsid w:val="00CE7969"/>
    <w:rsid w:val="00CE7C69"/>
    <w:rsid w:val="00CF001F"/>
    <w:rsid w:val="00CF01FC"/>
    <w:rsid w:val="00CF260D"/>
    <w:rsid w:val="00CF26E8"/>
    <w:rsid w:val="00CF2824"/>
    <w:rsid w:val="00CF39BC"/>
    <w:rsid w:val="00CF496B"/>
    <w:rsid w:val="00CF4A95"/>
    <w:rsid w:val="00CF52E3"/>
    <w:rsid w:val="00CF6180"/>
    <w:rsid w:val="00CF68C6"/>
    <w:rsid w:val="00CF6B83"/>
    <w:rsid w:val="00CF6B9E"/>
    <w:rsid w:val="00CF7F7F"/>
    <w:rsid w:val="00D0014A"/>
    <w:rsid w:val="00D002BD"/>
    <w:rsid w:val="00D0099C"/>
    <w:rsid w:val="00D012D8"/>
    <w:rsid w:val="00D01B07"/>
    <w:rsid w:val="00D01D1A"/>
    <w:rsid w:val="00D033F0"/>
    <w:rsid w:val="00D03545"/>
    <w:rsid w:val="00D037BD"/>
    <w:rsid w:val="00D0395F"/>
    <w:rsid w:val="00D04004"/>
    <w:rsid w:val="00D04052"/>
    <w:rsid w:val="00D052AC"/>
    <w:rsid w:val="00D05FFE"/>
    <w:rsid w:val="00D06B25"/>
    <w:rsid w:val="00D06BC3"/>
    <w:rsid w:val="00D1059F"/>
    <w:rsid w:val="00D10B71"/>
    <w:rsid w:val="00D11043"/>
    <w:rsid w:val="00D11422"/>
    <w:rsid w:val="00D122D2"/>
    <w:rsid w:val="00D12B71"/>
    <w:rsid w:val="00D12ECA"/>
    <w:rsid w:val="00D12F9C"/>
    <w:rsid w:val="00D13D56"/>
    <w:rsid w:val="00D13E08"/>
    <w:rsid w:val="00D147B4"/>
    <w:rsid w:val="00D15124"/>
    <w:rsid w:val="00D1543E"/>
    <w:rsid w:val="00D1584A"/>
    <w:rsid w:val="00D158EC"/>
    <w:rsid w:val="00D16765"/>
    <w:rsid w:val="00D1704E"/>
    <w:rsid w:val="00D17DE2"/>
    <w:rsid w:val="00D200EB"/>
    <w:rsid w:val="00D20450"/>
    <w:rsid w:val="00D20D73"/>
    <w:rsid w:val="00D21076"/>
    <w:rsid w:val="00D2137F"/>
    <w:rsid w:val="00D2193F"/>
    <w:rsid w:val="00D22577"/>
    <w:rsid w:val="00D22BB1"/>
    <w:rsid w:val="00D235DB"/>
    <w:rsid w:val="00D2363D"/>
    <w:rsid w:val="00D238AF"/>
    <w:rsid w:val="00D2391D"/>
    <w:rsid w:val="00D23BFD"/>
    <w:rsid w:val="00D23C2D"/>
    <w:rsid w:val="00D24623"/>
    <w:rsid w:val="00D265D9"/>
    <w:rsid w:val="00D26EB0"/>
    <w:rsid w:val="00D27937"/>
    <w:rsid w:val="00D30078"/>
    <w:rsid w:val="00D30C27"/>
    <w:rsid w:val="00D30C3A"/>
    <w:rsid w:val="00D313CC"/>
    <w:rsid w:val="00D3174F"/>
    <w:rsid w:val="00D31814"/>
    <w:rsid w:val="00D31EB5"/>
    <w:rsid w:val="00D32225"/>
    <w:rsid w:val="00D32C43"/>
    <w:rsid w:val="00D33039"/>
    <w:rsid w:val="00D331DB"/>
    <w:rsid w:val="00D33E24"/>
    <w:rsid w:val="00D33EDA"/>
    <w:rsid w:val="00D35184"/>
    <w:rsid w:val="00D35779"/>
    <w:rsid w:val="00D3583B"/>
    <w:rsid w:val="00D359A2"/>
    <w:rsid w:val="00D36470"/>
    <w:rsid w:val="00D36824"/>
    <w:rsid w:val="00D37971"/>
    <w:rsid w:val="00D4054B"/>
    <w:rsid w:val="00D40DB1"/>
    <w:rsid w:val="00D41A6F"/>
    <w:rsid w:val="00D422A3"/>
    <w:rsid w:val="00D430E9"/>
    <w:rsid w:val="00D43424"/>
    <w:rsid w:val="00D4396C"/>
    <w:rsid w:val="00D43C6E"/>
    <w:rsid w:val="00D43D96"/>
    <w:rsid w:val="00D43DE8"/>
    <w:rsid w:val="00D44387"/>
    <w:rsid w:val="00D4471F"/>
    <w:rsid w:val="00D44C25"/>
    <w:rsid w:val="00D451B0"/>
    <w:rsid w:val="00D47675"/>
    <w:rsid w:val="00D476F8"/>
    <w:rsid w:val="00D502E7"/>
    <w:rsid w:val="00D503D8"/>
    <w:rsid w:val="00D52FF8"/>
    <w:rsid w:val="00D534DB"/>
    <w:rsid w:val="00D535B3"/>
    <w:rsid w:val="00D539EC"/>
    <w:rsid w:val="00D54303"/>
    <w:rsid w:val="00D5490E"/>
    <w:rsid w:val="00D54C2A"/>
    <w:rsid w:val="00D54EBD"/>
    <w:rsid w:val="00D5503E"/>
    <w:rsid w:val="00D5595F"/>
    <w:rsid w:val="00D55B4C"/>
    <w:rsid w:val="00D57464"/>
    <w:rsid w:val="00D57738"/>
    <w:rsid w:val="00D57A37"/>
    <w:rsid w:val="00D57C04"/>
    <w:rsid w:val="00D612F6"/>
    <w:rsid w:val="00D63212"/>
    <w:rsid w:val="00D6353C"/>
    <w:rsid w:val="00D63AC0"/>
    <w:rsid w:val="00D63BAF"/>
    <w:rsid w:val="00D6417A"/>
    <w:rsid w:val="00D6522B"/>
    <w:rsid w:val="00D66847"/>
    <w:rsid w:val="00D6694F"/>
    <w:rsid w:val="00D70092"/>
    <w:rsid w:val="00D70546"/>
    <w:rsid w:val="00D707B4"/>
    <w:rsid w:val="00D718CC"/>
    <w:rsid w:val="00D71A25"/>
    <w:rsid w:val="00D71A80"/>
    <w:rsid w:val="00D71D8A"/>
    <w:rsid w:val="00D72445"/>
    <w:rsid w:val="00D728AB"/>
    <w:rsid w:val="00D72CF7"/>
    <w:rsid w:val="00D733A8"/>
    <w:rsid w:val="00D73AE5"/>
    <w:rsid w:val="00D745F2"/>
    <w:rsid w:val="00D756EF"/>
    <w:rsid w:val="00D75BB9"/>
    <w:rsid w:val="00D7606B"/>
    <w:rsid w:val="00D76D89"/>
    <w:rsid w:val="00D77A10"/>
    <w:rsid w:val="00D77A32"/>
    <w:rsid w:val="00D81BF1"/>
    <w:rsid w:val="00D81D6D"/>
    <w:rsid w:val="00D829C7"/>
    <w:rsid w:val="00D82B09"/>
    <w:rsid w:val="00D82FEF"/>
    <w:rsid w:val="00D836E0"/>
    <w:rsid w:val="00D83F04"/>
    <w:rsid w:val="00D83F71"/>
    <w:rsid w:val="00D84DC6"/>
    <w:rsid w:val="00D8585B"/>
    <w:rsid w:val="00D8648A"/>
    <w:rsid w:val="00D86A7E"/>
    <w:rsid w:val="00D870D9"/>
    <w:rsid w:val="00D87C8E"/>
    <w:rsid w:val="00D87D99"/>
    <w:rsid w:val="00D90705"/>
    <w:rsid w:val="00D907AE"/>
    <w:rsid w:val="00D909F1"/>
    <w:rsid w:val="00D90AB0"/>
    <w:rsid w:val="00D90B1C"/>
    <w:rsid w:val="00D90F94"/>
    <w:rsid w:val="00D91297"/>
    <w:rsid w:val="00D92007"/>
    <w:rsid w:val="00D9252B"/>
    <w:rsid w:val="00D92C74"/>
    <w:rsid w:val="00D964AA"/>
    <w:rsid w:val="00D9694B"/>
    <w:rsid w:val="00D971A5"/>
    <w:rsid w:val="00D974A5"/>
    <w:rsid w:val="00DA003F"/>
    <w:rsid w:val="00DA00DE"/>
    <w:rsid w:val="00DA0554"/>
    <w:rsid w:val="00DA059C"/>
    <w:rsid w:val="00DA0992"/>
    <w:rsid w:val="00DA0EB2"/>
    <w:rsid w:val="00DA0F78"/>
    <w:rsid w:val="00DA1338"/>
    <w:rsid w:val="00DA17BB"/>
    <w:rsid w:val="00DA18FB"/>
    <w:rsid w:val="00DA1A40"/>
    <w:rsid w:val="00DA2507"/>
    <w:rsid w:val="00DA27E1"/>
    <w:rsid w:val="00DA376F"/>
    <w:rsid w:val="00DA4C48"/>
    <w:rsid w:val="00DA5D28"/>
    <w:rsid w:val="00DA60F7"/>
    <w:rsid w:val="00DA650B"/>
    <w:rsid w:val="00DA662E"/>
    <w:rsid w:val="00DA6817"/>
    <w:rsid w:val="00DA6902"/>
    <w:rsid w:val="00DA696B"/>
    <w:rsid w:val="00DA7D8A"/>
    <w:rsid w:val="00DA7DF1"/>
    <w:rsid w:val="00DB0346"/>
    <w:rsid w:val="00DB0BDD"/>
    <w:rsid w:val="00DB1242"/>
    <w:rsid w:val="00DB1327"/>
    <w:rsid w:val="00DB14EB"/>
    <w:rsid w:val="00DB1B83"/>
    <w:rsid w:val="00DB2755"/>
    <w:rsid w:val="00DB2BF5"/>
    <w:rsid w:val="00DB2FB2"/>
    <w:rsid w:val="00DB3060"/>
    <w:rsid w:val="00DB3106"/>
    <w:rsid w:val="00DB3929"/>
    <w:rsid w:val="00DB3CCE"/>
    <w:rsid w:val="00DB4527"/>
    <w:rsid w:val="00DB46D3"/>
    <w:rsid w:val="00DB4D96"/>
    <w:rsid w:val="00DB55A3"/>
    <w:rsid w:val="00DB5E00"/>
    <w:rsid w:val="00DB6504"/>
    <w:rsid w:val="00DB70E3"/>
    <w:rsid w:val="00DC0368"/>
    <w:rsid w:val="00DC046B"/>
    <w:rsid w:val="00DC0EA3"/>
    <w:rsid w:val="00DC13F8"/>
    <w:rsid w:val="00DC1411"/>
    <w:rsid w:val="00DC18FC"/>
    <w:rsid w:val="00DC1BA1"/>
    <w:rsid w:val="00DC2330"/>
    <w:rsid w:val="00DC2790"/>
    <w:rsid w:val="00DC29DA"/>
    <w:rsid w:val="00DC2CEB"/>
    <w:rsid w:val="00DC333A"/>
    <w:rsid w:val="00DC3726"/>
    <w:rsid w:val="00DC3E1A"/>
    <w:rsid w:val="00DC4540"/>
    <w:rsid w:val="00DC550C"/>
    <w:rsid w:val="00DC55ED"/>
    <w:rsid w:val="00DC5705"/>
    <w:rsid w:val="00DC61CE"/>
    <w:rsid w:val="00DC6906"/>
    <w:rsid w:val="00DC7837"/>
    <w:rsid w:val="00DC7D93"/>
    <w:rsid w:val="00DD00CA"/>
    <w:rsid w:val="00DD0D0D"/>
    <w:rsid w:val="00DD0E92"/>
    <w:rsid w:val="00DD1314"/>
    <w:rsid w:val="00DD1A7D"/>
    <w:rsid w:val="00DD1F93"/>
    <w:rsid w:val="00DD2CF3"/>
    <w:rsid w:val="00DD2DC3"/>
    <w:rsid w:val="00DD31E8"/>
    <w:rsid w:val="00DD3A21"/>
    <w:rsid w:val="00DD3D15"/>
    <w:rsid w:val="00DD4BCB"/>
    <w:rsid w:val="00DD5BDE"/>
    <w:rsid w:val="00DD663C"/>
    <w:rsid w:val="00DD6B44"/>
    <w:rsid w:val="00DE0122"/>
    <w:rsid w:val="00DE02E8"/>
    <w:rsid w:val="00DE06BC"/>
    <w:rsid w:val="00DE1443"/>
    <w:rsid w:val="00DE2C87"/>
    <w:rsid w:val="00DE3E1B"/>
    <w:rsid w:val="00DE54BF"/>
    <w:rsid w:val="00DE5A24"/>
    <w:rsid w:val="00DE69A1"/>
    <w:rsid w:val="00DE6BC7"/>
    <w:rsid w:val="00DE6F06"/>
    <w:rsid w:val="00DE72B9"/>
    <w:rsid w:val="00DE763C"/>
    <w:rsid w:val="00DF0A35"/>
    <w:rsid w:val="00DF1388"/>
    <w:rsid w:val="00DF145F"/>
    <w:rsid w:val="00DF1817"/>
    <w:rsid w:val="00DF1C07"/>
    <w:rsid w:val="00DF1CF7"/>
    <w:rsid w:val="00DF2653"/>
    <w:rsid w:val="00DF3B98"/>
    <w:rsid w:val="00DF4975"/>
    <w:rsid w:val="00DF4F1B"/>
    <w:rsid w:val="00DF515F"/>
    <w:rsid w:val="00DF55F4"/>
    <w:rsid w:val="00DF5CBF"/>
    <w:rsid w:val="00DF6460"/>
    <w:rsid w:val="00DF6477"/>
    <w:rsid w:val="00DF66FA"/>
    <w:rsid w:val="00DF6AE1"/>
    <w:rsid w:val="00DF7C1A"/>
    <w:rsid w:val="00E0027A"/>
    <w:rsid w:val="00E00C41"/>
    <w:rsid w:val="00E011D3"/>
    <w:rsid w:val="00E01250"/>
    <w:rsid w:val="00E02744"/>
    <w:rsid w:val="00E034DC"/>
    <w:rsid w:val="00E03C95"/>
    <w:rsid w:val="00E040C0"/>
    <w:rsid w:val="00E049BA"/>
    <w:rsid w:val="00E04ED0"/>
    <w:rsid w:val="00E05085"/>
    <w:rsid w:val="00E05E63"/>
    <w:rsid w:val="00E0605A"/>
    <w:rsid w:val="00E0675E"/>
    <w:rsid w:val="00E06E38"/>
    <w:rsid w:val="00E06FBE"/>
    <w:rsid w:val="00E07563"/>
    <w:rsid w:val="00E07A34"/>
    <w:rsid w:val="00E10F74"/>
    <w:rsid w:val="00E12381"/>
    <w:rsid w:val="00E133CE"/>
    <w:rsid w:val="00E1378E"/>
    <w:rsid w:val="00E144D6"/>
    <w:rsid w:val="00E148BD"/>
    <w:rsid w:val="00E14B73"/>
    <w:rsid w:val="00E15264"/>
    <w:rsid w:val="00E1543D"/>
    <w:rsid w:val="00E16580"/>
    <w:rsid w:val="00E16BBB"/>
    <w:rsid w:val="00E16E7B"/>
    <w:rsid w:val="00E16E87"/>
    <w:rsid w:val="00E17A87"/>
    <w:rsid w:val="00E2033D"/>
    <w:rsid w:val="00E2294A"/>
    <w:rsid w:val="00E22E4C"/>
    <w:rsid w:val="00E22EF0"/>
    <w:rsid w:val="00E23AAB"/>
    <w:rsid w:val="00E24C27"/>
    <w:rsid w:val="00E24EA8"/>
    <w:rsid w:val="00E25360"/>
    <w:rsid w:val="00E25D20"/>
    <w:rsid w:val="00E260F6"/>
    <w:rsid w:val="00E26917"/>
    <w:rsid w:val="00E27058"/>
    <w:rsid w:val="00E2759F"/>
    <w:rsid w:val="00E27DE3"/>
    <w:rsid w:val="00E30303"/>
    <w:rsid w:val="00E3040F"/>
    <w:rsid w:val="00E307E8"/>
    <w:rsid w:val="00E30ADD"/>
    <w:rsid w:val="00E30EAF"/>
    <w:rsid w:val="00E30FC0"/>
    <w:rsid w:val="00E31D22"/>
    <w:rsid w:val="00E31E41"/>
    <w:rsid w:val="00E32403"/>
    <w:rsid w:val="00E3362D"/>
    <w:rsid w:val="00E33666"/>
    <w:rsid w:val="00E34258"/>
    <w:rsid w:val="00E35059"/>
    <w:rsid w:val="00E35201"/>
    <w:rsid w:val="00E35B57"/>
    <w:rsid w:val="00E35CC3"/>
    <w:rsid w:val="00E3635A"/>
    <w:rsid w:val="00E364D9"/>
    <w:rsid w:val="00E3683A"/>
    <w:rsid w:val="00E37FBB"/>
    <w:rsid w:val="00E40B1B"/>
    <w:rsid w:val="00E40CC8"/>
    <w:rsid w:val="00E41386"/>
    <w:rsid w:val="00E417D0"/>
    <w:rsid w:val="00E419BB"/>
    <w:rsid w:val="00E42722"/>
    <w:rsid w:val="00E448F0"/>
    <w:rsid w:val="00E449DA"/>
    <w:rsid w:val="00E44DEE"/>
    <w:rsid w:val="00E46443"/>
    <w:rsid w:val="00E47200"/>
    <w:rsid w:val="00E4727E"/>
    <w:rsid w:val="00E47B64"/>
    <w:rsid w:val="00E47D6F"/>
    <w:rsid w:val="00E509ED"/>
    <w:rsid w:val="00E516BD"/>
    <w:rsid w:val="00E51B16"/>
    <w:rsid w:val="00E51D74"/>
    <w:rsid w:val="00E5204E"/>
    <w:rsid w:val="00E52D19"/>
    <w:rsid w:val="00E530C8"/>
    <w:rsid w:val="00E54DE1"/>
    <w:rsid w:val="00E54DEF"/>
    <w:rsid w:val="00E554BF"/>
    <w:rsid w:val="00E55FFD"/>
    <w:rsid w:val="00E57676"/>
    <w:rsid w:val="00E605A0"/>
    <w:rsid w:val="00E605E8"/>
    <w:rsid w:val="00E6082A"/>
    <w:rsid w:val="00E60C12"/>
    <w:rsid w:val="00E60FF0"/>
    <w:rsid w:val="00E61702"/>
    <w:rsid w:val="00E617D2"/>
    <w:rsid w:val="00E61D94"/>
    <w:rsid w:val="00E62424"/>
    <w:rsid w:val="00E62E92"/>
    <w:rsid w:val="00E63621"/>
    <w:rsid w:val="00E6390B"/>
    <w:rsid w:val="00E64D88"/>
    <w:rsid w:val="00E650DB"/>
    <w:rsid w:val="00E652C8"/>
    <w:rsid w:val="00E66807"/>
    <w:rsid w:val="00E675F3"/>
    <w:rsid w:val="00E67688"/>
    <w:rsid w:val="00E67862"/>
    <w:rsid w:val="00E67A63"/>
    <w:rsid w:val="00E67D55"/>
    <w:rsid w:val="00E67DED"/>
    <w:rsid w:val="00E700C5"/>
    <w:rsid w:val="00E70202"/>
    <w:rsid w:val="00E70C04"/>
    <w:rsid w:val="00E71331"/>
    <w:rsid w:val="00E7194B"/>
    <w:rsid w:val="00E719B0"/>
    <w:rsid w:val="00E7242A"/>
    <w:rsid w:val="00E7243D"/>
    <w:rsid w:val="00E725E6"/>
    <w:rsid w:val="00E72DB6"/>
    <w:rsid w:val="00E7354A"/>
    <w:rsid w:val="00E735EE"/>
    <w:rsid w:val="00E73718"/>
    <w:rsid w:val="00E7565F"/>
    <w:rsid w:val="00E75B16"/>
    <w:rsid w:val="00E75D1A"/>
    <w:rsid w:val="00E7654F"/>
    <w:rsid w:val="00E77247"/>
    <w:rsid w:val="00E77A53"/>
    <w:rsid w:val="00E77B20"/>
    <w:rsid w:val="00E8109F"/>
    <w:rsid w:val="00E81176"/>
    <w:rsid w:val="00E817CB"/>
    <w:rsid w:val="00E81945"/>
    <w:rsid w:val="00E81A23"/>
    <w:rsid w:val="00E82E75"/>
    <w:rsid w:val="00E8344E"/>
    <w:rsid w:val="00E83B60"/>
    <w:rsid w:val="00E84A0D"/>
    <w:rsid w:val="00E84F81"/>
    <w:rsid w:val="00E85853"/>
    <w:rsid w:val="00E864E2"/>
    <w:rsid w:val="00E865B6"/>
    <w:rsid w:val="00E8681B"/>
    <w:rsid w:val="00E87330"/>
    <w:rsid w:val="00E87796"/>
    <w:rsid w:val="00E87841"/>
    <w:rsid w:val="00E90BBF"/>
    <w:rsid w:val="00E9156D"/>
    <w:rsid w:val="00E91DD9"/>
    <w:rsid w:val="00E91F70"/>
    <w:rsid w:val="00E9216B"/>
    <w:rsid w:val="00E9292F"/>
    <w:rsid w:val="00E92BDE"/>
    <w:rsid w:val="00E92D00"/>
    <w:rsid w:val="00E932EA"/>
    <w:rsid w:val="00E93F1B"/>
    <w:rsid w:val="00E94F14"/>
    <w:rsid w:val="00E9598A"/>
    <w:rsid w:val="00E95B8C"/>
    <w:rsid w:val="00E95E1C"/>
    <w:rsid w:val="00E96357"/>
    <w:rsid w:val="00E96566"/>
    <w:rsid w:val="00E96731"/>
    <w:rsid w:val="00E9787A"/>
    <w:rsid w:val="00E97B18"/>
    <w:rsid w:val="00EA082D"/>
    <w:rsid w:val="00EA08B3"/>
    <w:rsid w:val="00EA248C"/>
    <w:rsid w:val="00EA2627"/>
    <w:rsid w:val="00EA3290"/>
    <w:rsid w:val="00EA3755"/>
    <w:rsid w:val="00EA4700"/>
    <w:rsid w:val="00EA4BFD"/>
    <w:rsid w:val="00EA524E"/>
    <w:rsid w:val="00EA53FC"/>
    <w:rsid w:val="00EA5CBD"/>
    <w:rsid w:val="00EA686C"/>
    <w:rsid w:val="00EA6B0F"/>
    <w:rsid w:val="00EA6BF9"/>
    <w:rsid w:val="00EB0148"/>
    <w:rsid w:val="00EB0761"/>
    <w:rsid w:val="00EB21CD"/>
    <w:rsid w:val="00EB236B"/>
    <w:rsid w:val="00EB2BA7"/>
    <w:rsid w:val="00EB2E11"/>
    <w:rsid w:val="00EB2F7D"/>
    <w:rsid w:val="00EB312C"/>
    <w:rsid w:val="00EB3316"/>
    <w:rsid w:val="00EB3DA6"/>
    <w:rsid w:val="00EB3F62"/>
    <w:rsid w:val="00EB546D"/>
    <w:rsid w:val="00EB5C81"/>
    <w:rsid w:val="00EB607F"/>
    <w:rsid w:val="00EB63EF"/>
    <w:rsid w:val="00EB6739"/>
    <w:rsid w:val="00EB6E58"/>
    <w:rsid w:val="00EC0611"/>
    <w:rsid w:val="00EC0714"/>
    <w:rsid w:val="00EC091D"/>
    <w:rsid w:val="00EC1C83"/>
    <w:rsid w:val="00EC2A1E"/>
    <w:rsid w:val="00EC32AF"/>
    <w:rsid w:val="00EC37FE"/>
    <w:rsid w:val="00EC3AEF"/>
    <w:rsid w:val="00EC3C97"/>
    <w:rsid w:val="00EC44C6"/>
    <w:rsid w:val="00EC4589"/>
    <w:rsid w:val="00EC534C"/>
    <w:rsid w:val="00EC59CF"/>
    <w:rsid w:val="00EC5DFF"/>
    <w:rsid w:val="00EC6076"/>
    <w:rsid w:val="00EC6A43"/>
    <w:rsid w:val="00ED056B"/>
    <w:rsid w:val="00ED28EF"/>
    <w:rsid w:val="00ED2C02"/>
    <w:rsid w:val="00ED3A32"/>
    <w:rsid w:val="00ED3A6A"/>
    <w:rsid w:val="00ED3D1B"/>
    <w:rsid w:val="00ED45BB"/>
    <w:rsid w:val="00ED484A"/>
    <w:rsid w:val="00ED51D9"/>
    <w:rsid w:val="00ED5388"/>
    <w:rsid w:val="00ED627B"/>
    <w:rsid w:val="00ED655F"/>
    <w:rsid w:val="00ED68A6"/>
    <w:rsid w:val="00ED6C26"/>
    <w:rsid w:val="00ED6C6A"/>
    <w:rsid w:val="00ED6EEE"/>
    <w:rsid w:val="00EE01BD"/>
    <w:rsid w:val="00EE0D3B"/>
    <w:rsid w:val="00EE1512"/>
    <w:rsid w:val="00EE1677"/>
    <w:rsid w:val="00EE1E24"/>
    <w:rsid w:val="00EE1E5E"/>
    <w:rsid w:val="00EE2727"/>
    <w:rsid w:val="00EE2778"/>
    <w:rsid w:val="00EE3B66"/>
    <w:rsid w:val="00EE410B"/>
    <w:rsid w:val="00EE5B58"/>
    <w:rsid w:val="00EE603A"/>
    <w:rsid w:val="00EE61A2"/>
    <w:rsid w:val="00EE796E"/>
    <w:rsid w:val="00EE7B13"/>
    <w:rsid w:val="00EF00B1"/>
    <w:rsid w:val="00EF0445"/>
    <w:rsid w:val="00EF04FD"/>
    <w:rsid w:val="00EF05D1"/>
    <w:rsid w:val="00EF0F29"/>
    <w:rsid w:val="00EF11AA"/>
    <w:rsid w:val="00EF2785"/>
    <w:rsid w:val="00EF36F2"/>
    <w:rsid w:val="00EF4AB9"/>
    <w:rsid w:val="00EF4B94"/>
    <w:rsid w:val="00EF4CD2"/>
    <w:rsid w:val="00EF4DF9"/>
    <w:rsid w:val="00EF5541"/>
    <w:rsid w:val="00EF58C3"/>
    <w:rsid w:val="00EF596B"/>
    <w:rsid w:val="00EF59EB"/>
    <w:rsid w:val="00EF5D80"/>
    <w:rsid w:val="00EF6473"/>
    <w:rsid w:val="00EF6F38"/>
    <w:rsid w:val="00EF7171"/>
    <w:rsid w:val="00EF74D4"/>
    <w:rsid w:val="00EF7F04"/>
    <w:rsid w:val="00F01611"/>
    <w:rsid w:val="00F02B92"/>
    <w:rsid w:val="00F03205"/>
    <w:rsid w:val="00F03CA1"/>
    <w:rsid w:val="00F04028"/>
    <w:rsid w:val="00F040B8"/>
    <w:rsid w:val="00F04C46"/>
    <w:rsid w:val="00F06174"/>
    <w:rsid w:val="00F062CB"/>
    <w:rsid w:val="00F06ADC"/>
    <w:rsid w:val="00F06FC6"/>
    <w:rsid w:val="00F0714E"/>
    <w:rsid w:val="00F07D05"/>
    <w:rsid w:val="00F10A7B"/>
    <w:rsid w:val="00F10CC4"/>
    <w:rsid w:val="00F10E75"/>
    <w:rsid w:val="00F11A09"/>
    <w:rsid w:val="00F11FD6"/>
    <w:rsid w:val="00F12B32"/>
    <w:rsid w:val="00F13926"/>
    <w:rsid w:val="00F14094"/>
    <w:rsid w:val="00F145BE"/>
    <w:rsid w:val="00F14FA9"/>
    <w:rsid w:val="00F14FF5"/>
    <w:rsid w:val="00F15064"/>
    <w:rsid w:val="00F156C4"/>
    <w:rsid w:val="00F15832"/>
    <w:rsid w:val="00F15A51"/>
    <w:rsid w:val="00F15BEB"/>
    <w:rsid w:val="00F16E1A"/>
    <w:rsid w:val="00F201E0"/>
    <w:rsid w:val="00F21061"/>
    <w:rsid w:val="00F2116D"/>
    <w:rsid w:val="00F217F1"/>
    <w:rsid w:val="00F21C18"/>
    <w:rsid w:val="00F226B5"/>
    <w:rsid w:val="00F22A5C"/>
    <w:rsid w:val="00F22CA0"/>
    <w:rsid w:val="00F22D0C"/>
    <w:rsid w:val="00F2387D"/>
    <w:rsid w:val="00F23D56"/>
    <w:rsid w:val="00F242DE"/>
    <w:rsid w:val="00F2559A"/>
    <w:rsid w:val="00F2694F"/>
    <w:rsid w:val="00F26DCA"/>
    <w:rsid w:val="00F26E73"/>
    <w:rsid w:val="00F27AB1"/>
    <w:rsid w:val="00F27D38"/>
    <w:rsid w:val="00F302C0"/>
    <w:rsid w:val="00F307B9"/>
    <w:rsid w:val="00F30C4D"/>
    <w:rsid w:val="00F30F69"/>
    <w:rsid w:val="00F3147E"/>
    <w:rsid w:val="00F31F56"/>
    <w:rsid w:val="00F3232B"/>
    <w:rsid w:val="00F32757"/>
    <w:rsid w:val="00F32BD2"/>
    <w:rsid w:val="00F3327F"/>
    <w:rsid w:val="00F33313"/>
    <w:rsid w:val="00F34328"/>
    <w:rsid w:val="00F34399"/>
    <w:rsid w:val="00F3496F"/>
    <w:rsid w:val="00F349E7"/>
    <w:rsid w:val="00F34D0F"/>
    <w:rsid w:val="00F359D2"/>
    <w:rsid w:val="00F365B2"/>
    <w:rsid w:val="00F36AEE"/>
    <w:rsid w:val="00F36CF6"/>
    <w:rsid w:val="00F37074"/>
    <w:rsid w:val="00F379C7"/>
    <w:rsid w:val="00F37AD9"/>
    <w:rsid w:val="00F37B5E"/>
    <w:rsid w:val="00F37BF2"/>
    <w:rsid w:val="00F41293"/>
    <w:rsid w:val="00F41490"/>
    <w:rsid w:val="00F41E77"/>
    <w:rsid w:val="00F42596"/>
    <w:rsid w:val="00F426B7"/>
    <w:rsid w:val="00F4295D"/>
    <w:rsid w:val="00F43FE5"/>
    <w:rsid w:val="00F44440"/>
    <w:rsid w:val="00F4455D"/>
    <w:rsid w:val="00F44F87"/>
    <w:rsid w:val="00F45859"/>
    <w:rsid w:val="00F4605F"/>
    <w:rsid w:val="00F46182"/>
    <w:rsid w:val="00F46A88"/>
    <w:rsid w:val="00F46ACF"/>
    <w:rsid w:val="00F46FB5"/>
    <w:rsid w:val="00F47AD5"/>
    <w:rsid w:val="00F502FA"/>
    <w:rsid w:val="00F50D82"/>
    <w:rsid w:val="00F50FE9"/>
    <w:rsid w:val="00F52185"/>
    <w:rsid w:val="00F52214"/>
    <w:rsid w:val="00F5284E"/>
    <w:rsid w:val="00F52A3E"/>
    <w:rsid w:val="00F5375A"/>
    <w:rsid w:val="00F53921"/>
    <w:rsid w:val="00F539A2"/>
    <w:rsid w:val="00F5487D"/>
    <w:rsid w:val="00F54CB2"/>
    <w:rsid w:val="00F5615E"/>
    <w:rsid w:val="00F5644C"/>
    <w:rsid w:val="00F56B00"/>
    <w:rsid w:val="00F57A68"/>
    <w:rsid w:val="00F57FA2"/>
    <w:rsid w:val="00F601AE"/>
    <w:rsid w:val="00F60C06"/>
    <w:rsid w:val="00F61484"/>
    <w:rsid w:val="00F61953"/>
    <w:rsid w:val="00F62E7C"/>
    <w:rsid w:val="00F6470E"/>
    <w:rsid w:val="00F648FE"/>
    <w:rsid w:val="00F64C82"/>
    <w:rsid w:val="00F64CDD"/>
    <w:rsid w:val="00F64E03"/>
    <w:rsid w:val="00F64F03"/>
    <w:rsid w:val="00F65D39"/>
    <w:rsid w:val="00F65E06"/>
    <w:rsid w:val="00F6640F"/>
    <w:rsid w:val="00F671C7"/>
    <w:rsid w:val="00F67236"/>
    <w:rsid w:val="00F672CD"/>
    <w:rsid w:val="00F674AC"/>
    <w:rsid w:val="00F6750B"/>
    <w:rsid w:val="00F67B9F"/>
    <w:rsid w:val="00F7027B"/>
    <w:rsid w:val="00F70BAC"/>
    <w:rsid w:val="00F71EF1"/>
    <w:rsid w:val="00F71F40"/>
    <w:rsid w:val="00F73C8F"/>
    <w:rsid w:val="00F73D8C"/>
    <w:rsid w:val="00F74745"/>
    <w:rsid w:val="00F7484B"/>
    <w:rsid w:val="00F74C54"/>
    <w:rsid w:val="00F74E4C"/>
    <w:rsid w:val="00F74F25"/>
    <w:rsid w:val="00F7527C"/>
    <w:rsid w:val="00F75817"/>
    <w:rsid w:val="00F76571"/>
    <w:rsid w:val="00F77308"/>
    <w:rsid w:val="00F778B8"/>
    <w:rsid w:val="00F779FD"/>
    <w:rsid w:val="00F77CCF"/>
    <w:rsid w:val="00F80129"/>
    <w:rsid w:val="00F80A70"/>
    <w:rsid w:val="00F81D82"/>
    <w:rsid w:val="00F821D6"/>
    <w:rsid w:val="00F82EC7"/>
    <w:rsid w:val="00F83A3A"/>
    <w:rsid w:val="00F83CCA"/>
    <w:rsid w:val="00F83E87"/>
    <w:rsid w:val="00F8420A"/>
    <w:rsid w:val="00F842D4"/>
    <w:rsid w:val="00F849D7"/>
    <w:rsid w:val="00F84F3C"/>
    <w:rsid w:val="00F85660"/>
    <w:rsid w:val="00F85C13"/>
    <w:rsid w:val="00F86A8D"/>
    <w:rsid w:val="00F86C8B"/>
    <w:rsid w:val="00F9007E"/>
    <w:rsid w:val="00F91FB5"/>
    <w:rsid w:val="00F920D4"/>
    <w:rsid w:val="00F927B0"/>
    <w:rsid w:val="00F93375"/>
    <w:rsid w:val="00F937B9"/>
    <w:rsid w:val="00F93DB0"/>
    <w:rsid w:val="00F94AF6"/>
    <w:rsid w:val="00F94F87"/>
    <w:rsid w:val="00F953F9"/>
    <w:rsid w:val="00F95D1D"/>
    <w:rsid w:val="00F97755"/>
    <w:rsid w:val="00F97E70"/>
    <w:rsid w:val="00FA01B9"/>
    <w:rsid w:val="00FA04F6"/>
    <w:rsid w:val="00FA062C"/>
    <w:rsid w:val="00FA11D6"/>
    <w:rsid w:val="00FA12F1"/>
    <w:rsid w:val="00FA1424"/>
    <w:rsid w:val="00FA23FE"/>
    <w:rsid w:val="00FA2548"/>
    <w:rsid w:val="00FA26F8"/>
    <w:rsid w:val="00FA284D"/>
    <w:rsid w:val="00FA2AFD"/>
    <w:rsid w:val="00FA30B4"/>
    <w:rsid w:val="00FA31D0"/>
    <w:rsid w:val="00FA333F"/>
    <w:rsid w:val="00FA495A"/>
    <w:rsid w:val="00FA4F18"/>
    <w:rsid w:val="00FA549A"/>
    <w:rsid w:val="00FA5ED9"/>
    <w:rsid w:val="00FA6BFC"/>
    <w:rsid w:val="00FA7159"/>
    <w:rsid w:val="00FA73FB"/>
    <w:rsid w:val="00FB0091"/>
    <w:rsid w:val="00FB0902"/>
    <w:rsid w:val="00FB0A94"/>
    <w:rsid w:val="00FB13D0"/>
    <w:rsid w:val="00FB1585"/>
    <w:rsid w:val="00FB16B9"/>
    <w:rsid w:val="00FB184F"/>
    <w:rsid w:val="00FB1E08"/>
    <w:rsid w:val="00FB3CC5"/>
    <w:rsid w:val="00FB3E3A"/>
    <w:rsid w:val="00FB49C6"/>
    <w:rsid w:val="00FB4AB0"/>
    <w:rsid w:val="00FB506D"/>
    <w:rsid w:val="00FB57F2"/>
    <w:rsid w:val="00FB6AD1"/>
    <w:rsid w:val="00FB6CD2"/>
    <w:rsid w:val="00FB74A6"/>
    <w:rsid w:val="00FB75D5"/>
    <w:rsid w:val="00FC0560"/>
    <w:rsid w:val="00FC05D9"/>
    <w:rsid w:val="00FC06A5"/>
    <w:rsid w:val="00FC089D"/>
    <w:rsid w:val="00FC0E88"/>
    <w:rsid w:val="00FC1600"/>
    <w:rsid w:val="00FC16A8"/>
    <w:rsid w:val="00FC2625"/>
    <w:rsid w:val="00FC3099"/>
    <w:rsid w:val="00FC3A60"/>
    <w:rsid w:val="00FC406D"/>
    <w:rsid w:val="00FC410E"/>
    <w:rsid w:val="00FC47C8"/>
    <w:rsid w:val="00FC49A7"/>
    <w:rsid w:val="00FC4C53"/>
    <w:rsid w:val="00FC6DEB"/>
    <w:rsid w:val="00FC768F"/>
    <w:rsid w:val="00FC76C1"/>
    <w:rsid w:val="00FC7E40"/>
    <w:rsid w:val="00FD07CC"/>
    <w:rsid w:val="00FD0A2E"/>
    <w:rsid w:val="00FD0D6B"/>
    <w:rsid w:val="00FD15AD"/>
    <w:rsid w:val="00FD1F62"/>
    <w:rsid w:val="00FD25BD"/>
    <w:rsid w:val="00FD3169"/>
    <w:rsid w:val="00FD35E0"/>
    <w:rsid w:val="00FD3755"/>
    <w:rsid w:val="00FD4176"/>
    <w:rsid w:val="00FD5670"/>
    <w:rsid w:val="00FD5F76"/>
    <w:rsid w:val="00FD635D"/>
    <w:rsid w:val="00FD65C7"/>
    <w:rsid w:val="00FD6689"/>
    <w:rsid w:val="00FD6CFC"/>
    <w:rsid w:val="00FD6DC5"/>
    <w:rsid w:val="00FD746F"/>
    <w:rsid w:val="00FD7776"/>
    <w:rsid w:val="00FE0C4E"/>
    <w:rsid w:val="00FE0FD0"/>
    <w:rsid w:val="00FE0FD2"/>
    <w:rsid w:val="00FE1A2B"/>
    <w:rsid w:val="00FE1A2E"/>
    <w:rsid w:val="00FE1C39"/>
    <w:rsid w:val="00FE264E"/>
    <w:rsid w:val="00FE2B1C"/>
    <w:rsid w:val="00FE2B21"/>
    <w:rsid w:val="00FE2B9F"/>
    <w:rsid w:val="00FE2E27"/>
    <w:rsid w:val="00FE2F9E"/>
    <w:rsid w:val="00FE3073"/>
    <w:rsid w:val="00FE307C"/>
    <w:rsid w:val="00FE3BBF"/>
    <w:rsid w:val="00FE3FAD"/>
    <w:rsid w:val="00FE47A0"/>
    <w:rsid w:val="00FE4B2B"/>
    <w:rsid w:val="00FE4C2B"/>
    <w:rsid w:val="00FE4C4F"/>
    <w:rsid w:val="00FE5022"/>
    <w:rsid w:val="00FE520C"/>
    <w:rsid w:val="00FE5238"/>
    <w:rsid w:val="00FE558D"/>
    <w:rsid w:val="00FE58DA"/>
    <w:rsid w:val="00FE5A59"/>
    <w:rsid w:val="00FE5E0E"/>
    <w:rsid w:val="00FE6257"/>
    <w:rsid w:val="00FE6AF6"/>
    <w:rsid w:val="00FE6C4C"/>
    <w:rsid w:val="00FE700D"/>
    <w:rsid w:val="00FE78F9"/>
    <w:rsid w:val="00FF1022"/>
    <w:rsid w:val="00FF10DF"/>
    <w:rsid w:val="00FF1C1A"/>
    <w:rsid w:val="00FF1E69"/>
    <w:rsid w:val="00FF2423"/>
    <w:rsid w:val="00FF28D4"/>
    <w:rsid w:val="00FF2E5B"/>
    <w:rsid w:val="00FF5453"/>
    <w:rsid w:val="00FF5F2A"/>
    <w:rsid w:val="00FF656F"/>
    <w:rsid w:val="00FF68A6"/>
    <w:rsid w:val="00FF6960"/>
    <w:rsid w:val="00FF75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4911D48-F41A-4009-9E8A-585CB701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paragraph" w:styleId="Titre1">
    <w:name w:val="heading 1"/>
    <w:basedOn w:val="Normal"/>
    <w:next w:val="Normal"/>
    <w:link w:val="Titre1Car"/>
    <w:uiPriority w:val="9"/>
    <w:semiHidden/>
    <w:qFormat/>
    <w:rsid w:val="00423CC1"/>
    <w:pPr>
      <w:keepNext/>
      <w:keepLines/>
      <w:spacing w:before="240"/>
      <w:outlineLvl w:val="0"/>
    </w:pPr>
    <w:rPr>
      <w:rFonts w:asciiTheme="majorHAnsi" w:eastAsiaTheme="majorEastAsia" w:hAnsiTheme="majorHAnsi" w:cstheme="majorBidi"/>
      <w:color w:val="30BDB3" w:themeColor="accent1" w:themeShade="BF"/>
      <w:sz w:val="32"/>
      <w:szCs w:val="32"/>
    </w:rPr>
  </w:style>
  <w:style w:type="paragraph" w:styleId="Titre2">
    <w:name w:val="heading 2"/>
    <w:basedOn w:val="Normal"/>
    <w:next w:val="Normal"/>
    <w:link w:val="Titre2Car"/>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paragraph" w:styleId="Titre3">
    <w:name w:val="heading 3"/>
    <w:basedOn w:val="Normal"/>
    <w:link w:val="Titre3Car"/>
    <w:uiPriority w:val="9"/>
    <w:qFormat/>
    <w:rsid w:val="004D42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2D0C"/>
    <w:pPr>
      <w:spacing w:before="0" w:line="240" w:lineRule="auto"/>
    </w:pPr>
    <w:rPr>
      <w:sz w:val="14"/>
    </w:rPr>
  </w:style>
  <w:style w:type="character" w:customStyle="1" w:styleId="En-tteCar">
    <w:name w:val="En-tête Car"/>
    <w:basedOn w:val="Policepardfaut"/>
    <w:link w:val="En-tte"/>
    <w:uiPriority w:val="99"/>
    <w:rsid w:val="008C7E44"/>
    <w:rPr>
      <w:sz w:val="14"/>
    </w:rPr>
  </w:style>
  <w:style w:type="paragraph" w:styleId="Pieddepage">
    <w:name w:val="footer"/>
    <w:basedOn w:val="Normal"/>
    <w:link w:val="PieddepageCar"/>
    <w:uiPriority w:val="99"/>
    <w:semiHidden/>
    <w:rsid w:val="007D3970"/>
    <w:pPr>
      <w:spacing w:before="0" w:line="240" w:lineRule="auto"/>
    </w:pPr>
    <w:rPr>
      <w:sz w:val="14"/>
    </w:rPr>
  </w:style>
  <w:style w:type="character" w:customStyle="1" w:styleId="PieddepageCar">
    <w:name w:val="Pied de page Car"/>
    <w:basedOn w:val="Policepardfaut"/>
    <w:link w:val="Pieddepage"/>
    <w:uiPriority w:val="99"/>
    <w:semiHidden/>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
      </w:numPr>
    </w:pPr>
  </w:style>
  <w:style w:type="paragraph" w:customStyle="1" w:styleId="RGPuce2">
    <w:name w:val="RG_Puce 2"/>
    <w:basedOn w:val="Normal"/>
    <w:uiPriority w:val="4"/>
    <w:qFormat/>
    <w:rsid w:val="00FC0E88"/>
    <w:pPr>
      <w:numPr>
        <w:ilvl w:val="1"/>
        <w:numId w:val="1"/>
      </w:numPr>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ParagraphedelisteCar"/>
    <w:uiPriority w:val="34"/>
    <w:qFormat/>
    <w:rsid w:val="00C76C9C"/>
    <w:pPr>
      <w:ind w:left="720"/>
      <w:contextualSpacing/>
    </w:pPr>
  </w:style>
  <w:style w:type="paragraph" w:styleId="NormalWeb">
    <w:name w:val="Normal (Web)"/>
    <w:basedOn w:val="Normal"/>
    <w:uiPriority w:val="99"/>
    <w:unhideWhenUsed/>
    <w:rsid w:val="00724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40E5"/>
    <w:rPr>
      <w:b/>
      <w:bCs/>
    </w:rPr>
  </w:style>
  <w:style w:type="character" w:styleId="Accentuation">
    <w:name w:val="Emphasis"/>
    <w:basedOn w:val="Policepardfaut"/>
    <w:uiPriority w:val="20"/>
    <w:qFormat/>
    <w:rsid w:val="007240E5"/>
    <w:rPr>
      <w:i/>
      <w:iCs/>
    </w:rPr>
  </w:style>
  <w:style w:type="paragraph" w:customStyle="1" w:styleId="Titre21">
    <w:name w:val="Titre 21"/>
    <w:basedOn w:val="Normal"/>
    <w:next w:val="Normal"/>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character" w:customStyle="1" w:styleId="Titre3Car">
    <w:name w:val="Titre 3 Car"/>
    <w:basedOn w:val="Policepardfaut"/>
    <w:link w:val="Titre3"/>
    <w:uiPriority w:val="9"/>
    <w:rsid w:val="004D42C5"/>
    <w:rPr>
      <w:rFonts w:ascii="Times New Roman" w:eastAsia="Times New Roman" w:hAnsi="Times New Roman" w:cs="Times New Roman"/>
      <w:b/>
      <w:bCs/>
      <w:sz w:val="27"/>
      <w:szCs w:val="27"/>
      <w:lang w:eastAsia="fr-FR"/>
    </w:rPr>
  </w:style>
  <w:style w:type="table" w:customStyle="1" w:styleId="Grilledutableau1">
    <w:name w:val="Grille du tableau1"/>
    <w:basedOn w:val="TableauNormal"/>
    <w:next w:val="Grilledutableau"/>
    <w:uiPriority w:val="59"/>
    <w:rsid w:val="004D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Introduction">
    <w:name w:val="RG_Introduction"/>
    <w:basedOn w:val="Normal"/>
    <w:uiPriority w:val="3"/>
    <w:qFormat/>
    <w:rsid w:val="004D42C5"/>
    <w:rPr>
      <w:rFonts w:ascii="Renault Group Semibold" w:hAnsi="Renault Group Semibold"/>
    </w:rPr>
  </w:style>
  <w:style w:type="paragraph" w:styleId="Notedebasdepage">
    <w:name w:val="footnote text"/>
    <w:basedOn w:val="Normal"/>
    <w:link w:val="NotedebasdepageCar"/>
    <w:uiPriority w:val="99"/>
    <w:semiHidden/>
    <w:rsid w:val="004D42C5"/>
    <w:pPr>
      <w:spacing w:before="0" w:line="240" w:lineRule="auto"/>
    </w:pPr>
    <w:rPr>
      <w:sz w:val="20"/>
    </w:rPr>
  </w:style>
  <w:style w:type="character" w:customStyle="1" w:styleId="NotedebasdepageCar">
    <w:name w:val="Note de bas de page Car"/>
    <w:basedOn w:val="Policepardfaut"/>
    <w:link w:val="Notedebasdepage"/>
    <w:uiPriority w:val="99"/>
    <w:semiHidden/>
    <w:rsid w:val="004D42C5"/>
  </w:style>
  <w:style w:type="character" w:styleId="Appelnotedebasdep">
    <w:name w:val="footnote reference"/>
    <w:basedOn w:val="Policepardfaut"/>
    <w:uiPriority w:val="99"/>
    <w:semiHidden/>
    <w:rsid w:val="004D42C5"/>
    <w:rPr>
      <w:vertAlign w:val="superscript"/>
    </w:rPr>
  </w:style>
  <w:style w:type="paragraph" w:customStyle="1" w:styleId="Default">
    <w:name w:val="Default"/>
    <w:rsid w:val="004D42C5"/>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4D42C5"/>
    <w:rPr>
      <w:sz w:val="16"/>
      <w:szCs w:val="16"/>
    </w:rPr>
  </w:style>
  <w:style w:type="paragraph" w:styleId="Commentaire">
    <w:name w:val="annotation text"/>
    <w:basedOn w:val="Normal"/>
    <w:link w:val="CommentaireCar"/>
    <w:uiPriority w:val="99"/>
    <w:semiHidden/>
    <w:rsid w:val="004D42C5"/>
    <w:pPr>
      <w:spacing w:line="240" w:lineRule="auto"/>
    </w:pPr>
    <w:rPr>
      <w:sz w:val="20"/>
    </w:rPr>
  </w:style>
  <w:style w:type="character" w:customStyle="1" w:styleId="CommentaireCar">
    <w:name w:val="Commentaire Car"/>
    <w:basedOn w:val="Policepardfaut"/>
    <w:link w:val="Commentaire"/>
    <w:uiPriority w:val="99"/>
    <w:semiHidden/>
    <w:rsid w:val="004D42C5"/>
  </w:style>
  <w:style w:type="paragraph" w:styleId="Objetducommentaire">
    <w:name w:val="annotation subject"/>
    <w:basedOn w:val="Commentaire"/>
    <w:next w:val="Commentaire"/>
    <w:link w:val="ObjetducommentaireCar"/>
    <w:uiPriority w:val="99"/>
    <w:semiHidden/>
    <w:unhideWhenUsed/>
    <w:rsid w:val="004D42C5"/>
    <w:rPr>
      <w:b/>
      <w:bCs/>
    </w:rPr>
  </w:style>
  <w:style w:type="character" w:customStyle="1" w:styleId="ObjetducommentaireCar">
    <w:name w:val="Objet du commentaire Car"/>
    <w:basedOn w:val="CommentaireCar"/>
    <w:link w:val="Objetducommentaire"/>
    <w:uiPriority w:val="99"/>
    <w:semiHidden/>
    <w:rsid w:val="004D42C5"/>
    <w:rPr>
      <w:b/>
      <w:bCs/>
    </w:rPr>
  </w:style>
  <w:style w:type="paragraph" w:styleId="Textedebulles">
    <w:name w:val="Balloon Text"/>
    <w:basedOn w:val="Normal"/>
    <w:link w:val="TextedebullesCar"/>
    <w:uiPriority w:val="99"/>
    <w:semiHidden/>
    <w:unhideWhenUsed/>
    <w:rsid w:val="004D42C5"/>
    <w:pPr>
      <w:spacing w:before="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4D42C5"/>
    <w:rPr>
      <w:rFonts w:ascii="Segoe UI" w:hAnsi="Segoe UI" w:cs="Segoe UI"/>
      <w:sz w:val="18"/>
      <w:szCs w:val="18"/>
    </w:rPr>
  </w:style>
  <w:style w:type="paragraph" w:styleId="Rvision">
    <w:name w:val="Revision"/>
    <w:hidden/>
    <w:uiPriority w:val="99"/>
    <w:semiHidden/>
    <w:rsid w:val="004D42C5"/>
    <w:rPr>
      <w:sz w:val="18"/>
    </w:rPr>
  </w:style>
  <w:style w:type="character" w:customStyle="1" w:styleId="Titre2Car">
    <w:name w:val="Titre 2 Car"/>
    <w:basedOn w:val="Policepardfaut"/>
    <w:link w:val="Titre2"/>
    <w:uiPriority w:val="9"/>
    <w:semiHidden/>
    <w:rsid w:val="004D42C5"/>
    <w:rPr>
      <w:rFonts w:ascii="Renault Group Light" w:eastAsia="MS Gothic" w:hAnsi="Renault Group Light" w:cs="Times New Roman"/>
      <w:color w:val="30BDB3"/>
      <w:sz w:val="26"/>
      <w:szCs w:val="26"/>
    </w:rPr>
  </w:style>
  <w:style w:type="paragraph" w:styleId="Notedefin">
    <w:name w:val="endnote text"/>
    <w:basedOn w:val="Normal"/>
    <w:link w:val="NotedefinCar"/>
    <w:uiPriority w:val="99"/>
    <w:semiHidden/>
    <w:rsid w:val="004D42C5"/>
    <w:pPr>
      <w:spacing w:before="0" w:line="240" w:lineRule="auto"/>
    </w:pPr>
    <w:rPr>
      <w:sz w:val="20"/>
    </w:rPr>
  </w:style>
  <w:style w:type="character" w:customStyle="1" w:styleId="NotedefinCar">
    <w:name w:val="Note de fin Car"/>
    <w:basedOn w:val="Policepardfaut"/>
    <w:link w:val="Notedefin"/>
    <w:uiPriority w:val="99"/>
    <w:semiHidden/>
    <w:rsid w:val="004D42C5"/>
  </w:style>
  <w:style w:type="character" w:styleId="Appeldenotedefin">
    <w:name w:val="endnote reference"/>
    <w:basedOn w:val="Policepardfaut"/>
    <w:uiPriority w:val="99"/>
    <w:semiHidden/>
    <w:rsid w:val="004D42C5"/>
    <w:rPr>
      <w:vertAlign w:val="superscript"/>
    </w:rPr>
  </w:style>
  <w:style w:type="character" w:customStyle="1" w:styleId="Titre2Car1">
    <w:name w:val="Titre 2 Car1"/>
    <w:basedOn w:val="Policepardfaut"/>
    <w:uiPriority w:val="9"/>
    <w:semiHidden/>
    <w:rsid w:val="004D42C5"/>
    <w:rPr>
      <w:rFonts w:asciiTheme="majorHAnsi" w:eastAsiaTheme="majorEastAsia" w:hAnsiTheme="majorHAnsi" w:cstheme="majorBidi"/>
      <w:color w:val="30BDB3" w:themeColor="accent1" w:themeShade="BF"/>
      <w:sz w:val="26"/>
      <w:szCs w:val="26"/>
    </w:rPr>
  </w:style>
  <w:style w:type="character" w:customStyle="1" w:styleId="normaltextrun">
    <w:name w:val="normaltextrun"/>
    <w:basedOn w:val="Policepardfaut"/>
    <w:rsid w:val="00445B8B"/>
  </w:style>
  <w:style w:type="character" w:customStyle="1" w:styleId="eop">
    <w:name w:val="eop"/>
    <w:basedOn w:val="Policepardfaut"/>
    <w:rsid w:val="00445B8B"/>
  </w:style>
  <w:style w:type="character" w:customStyle="1" w:styleId="ParagraphedelisteCar">
    <w:name w:val="Paragraphe de liste Car"/>
    <w:aliases w:val="Bullet List Car,FooterText Car,List Paragraph1 Car,numbered Car,Bulletr List Paragraph Car,列出段落 Car,列出段落1 Car,Párrafo de lista1 Car,Paragraphe de liste1 Car,List Paragraph2 Car,List Paragraph21 Car,Parágrafo da Lista1 Car,? Car"/>
    <w:basedOn w:val="Policepardfaut"/>
    <w:link w:val="Paragraphedeliste"/>
    <w:uiPriority w:val="34"/>
    <w:qFormat/>
    <w:locked/>
    <w:rsid w:val="003230E9"/>
    <w:rPr>
      <w:sz w:val="18"/>
    </w:rPr>
  </w:style>
  <w:style w:type="character" w:customStyle="1" w:styleId="Titre1Car">
    <w:name w:val="Titre 1 Car"/>
    <w:basedOn w:val="Policepardfaut"/>
    <w:link w:val="Titre1"/>
    <w:uiPriority w:val="9"/>
    <w:semiHidden/>
    <w:rsid w:val="00423CC1"/>
    <w:rPr>
      <w:rFonts w:asciiTheme="majorHAnsi" w:eastAsiaTheme="majorEastAsia" w:hAnsiTheme="majorHAnsi" w:cstheme="majorBidi"/>
      <w:color w:val="30BDB3" w:themeColor="accent1" w:themeShade="BF"/>
      <w:sz w:val="32"/>
      <w:szCs w:val="32"/>
    </w:rPr>
  </w:style>
  <w:style w:type="character" w:customStyle="1" w:styleId="ui-provider">
    <w:name w:val="ui-provider"/>
    <w:basedOn w:val="Policepardfaut"/>
    <w:rsid w:val="0005082D"/>
  </w:style>
  <w:style w:type="paragraph" w:customStyle="1" w:styleId="xmsonormal">
    <w:name w:val="x_msonormal"/>
    <w:basedOn w:val="Normal"/>
    <w:rsid w:val="00C34784"/>
    <w:pPr>
      <w:spacing w:before="0" w:line="240" w:lineRule="auto"/>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08166546">
      <w:bodyDiv w:val="1"/>
      <w:marLeft w:val="0"/>
      <w:marRight w:val="0"/>
      <w:marTop w:val="0"/>
      <w:marBottom w:val="0"/>
      <w:divBdr>
        <w:top w:val="none" w:sz="0" w:space="0" w:color="auto"/>
        <w:left w:val="none" w:sz="0" w:space="0" w:color="auto"/>
        <w:bottom w:val="none" w:sz="0" w:space="0" w:color="auto"/>
        <w:right w:val="none" w:sz="0" w:space="0" w:color="auto"/>
      </w:divBdr>
    </w:div>
    <w:div w:id="130297152">
      <w:bodyDiv w:val="1"/>
      <w:marLeft w:val="0"/>
      <w:marRight w:val="0"/>
      <w:marTop w:val="0"/>
      <w:marBottom w:val="0"/>
      <w:divBdr>
        <w:top w:val="none" w:sz="0" w:space="0" w:color="auto"/>
        <w:left w:val="none" w:sz="0" w:space="0" w:color="auto"/>
        <w:bottom w:val="none" w:sz="0" w:space="0" w:color="auto"/>
        <w:right w:val="none" w:sz="0" w:space="0" w:color="auto"/>
      </w:divBdr>
    </w:div>
    <w:div w:id="364019396">
      <w:bodyDiv w:val="1"/>
      <w:marLeft w:val="0"/>
      <w:marRight w:val="0"/>
      <w:marTop w:val="0"/>
      <w:marBottom w:val="0"/>
      <w:divBdr>
        <w:top w:val="none" w:sz="0" w:space="0" w:color="auto"/>
        <w:left w:val="none" w:sz="0" w:space="0" w:color="auto"/>
        <w:bottom w:val="none" w:sz="0" w:space="0" w:color="auto"/>
        <w:right w:val="none" w:sz="0" w:space="0" w:color="auto"/>
      </w:divBdr>
    </w:div>
    <w:div w:id="649018848">
      <w:bodyDiv w:val="1"/>
      <w:marLeft w:val="0"/>
      <w:marRight w:val="0"/>
      <w:marTop w:val="0"/>
      <w:marBottom w:val="0"/>
      <w:divBdr>
        <w:top w:val="none" w:sz="0" w:space="0" w:color="auto"/>
        <w:left w:val="none" w:sz="0" w:space="0" w:color="auto"/>
        <w:bottom w:val="none" w:sz="0" w:space="0" w:color="auto"/>
        <w:right w:val="none" w:sz="0" w:space="0" w:color="auto"/>
      </w:divBdr>
    </w:div>
    <w:div w:id="667563740">
      <w:bodyDiv w:val="1"/>
      <w:marLeft w:val="0"/>
      <w:marRight w:val="0"/>
      <w:marTop w:val="0"/>
      <w:marBottom w:val="0"/>
      <w:divBdr>
        <w:top w:val="none" w:sz="0" w:space="0" w:color="auto"/>
        <w:left w:val="none" w:sz="0" w:space="0" w:color="auto"/>
        <w:bottom w:val="none" w:sz="0" w:space="0" w:color="auto"/>
        <w:right w:val="none" w:sz="0" w:space="0" w:color="auto"/>
      </w:divBdr>
    </w:div>
    <w:div w:id="768352948">
      <w:bodyDiv w:val="1"/>
      <w:marLeft w:val="0"/>
      <w:marRight w:val="0"/>
      <w:marTop w:val="0"/>
      <w:marBottom w:val="0"/>
      <w:divBdr>
        <w:top w:val="none" w:sz="0" w:space="0" w:color="auto"/>
        <w:left w:val="none" w:sz="0" w:space="0" w:color="auto"/>
        <w:bottom w:val="none" w:sz="0" w:space="0" w:color="auto"/>
        <w:right w:val="none" w:sz="0" w:space="0" w:color="auto"/>
      </w:divBdr>
    </w:div>
    <w:div w:id="782457262">
      <w:bodyDiv w:val="1"/>
      <w:marLeft w:val="0"/>
      <w:marRight w:val="0"/>
      <w:marTop w:val="0"/>
      <w:marBottom w:val="0"/>
      <w:divBdr>
        <w:top w:val="none" w:sz="0" w:space="0" w:color="auto"/>
        <w:left w:val="none" w:sz="0" w:space="0" w:color="auto"/>
        <w:bottom w:val="none" w:sz="0" w:space="0" w:color="auto"/>
        <w:right w:val="none" w:sz="0" w:space="0" w:color="auto"/>
      </w:divBdr>
    </w:div>
    <w:div w:id="894464240">
      <w:bodyDiv w:val="1"/>
      <w:marLeft w:val="0"/>
      <w:marRight w:val="0"/>
      <w:marTop w:val="0"/>
      <w:marBottom w:val="0"/>
      <w:divBdr>
        <w:top w:val="none" w:sz="0" w:space="0" w:color="auto"/>
        <w:left w:val="none" w:sz="0" w:space="0" w:color="auto"/>
        <w:bottom w:val="none" w:sz="0" w:space="0" w:color="auto"/>
        <w:right w:val="none" w:sz="0" w:space="0" w:color="auto"/>
      </w:divBdr>
    </w:div>
    <w:div w:id="91128050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15110977">
      <w:bodyDiv w:val="1"/>
      <w:marLeft w:val="0"/>
      <w:marRight w:val="0"/>
      <w:marTop w:val="0"/>
      <w:marBottom w:val="0"/>
      <w:divBdr>
        <w:top w:val="none" w:sz="0" w:space="0" w:color="auto"/>
        <w:left w:val="none" w:sz="0" w:space="0" w:color="auto"/>
        <w:bottom w:val="none" w:sz="0" w:space="0" w:color="auto"/>
        <w:right w:val="none" w:sz="0" w:space="0" w:color="auto"/>
      </w:divBdr>
    </w:div>
    <w:div w:id="1032421264">
      <w:bodyDiv w:val="1"/>
      <w:marLeft w:val="0"/>
      <w:marRight w:val="0"/>
      <w:marTop w:val="0"/>
      <w:marBottom w:val="0"/>
      <w:divBdr>
        <w:top w:val="none" w:sz="0" w:space="0" w:color="auto"/>
        <w:left w:val="none" w:sz="0" w:space="0" w:color="auto"/>
        <w:bottom w:val="none" w:sz="0" w:space="0" w:color="auto"/>
        <w:right w:val="none" w:sz="0" w:space="0" w:color="auto"/>
      </w:divBdr>
    </w:div>
    <w:div w:id="1039403745">
      <w:bodyDiv w:val="1"/>
      <w:marLeft w:val="0"/>
      <w:marRight w:val="0"/>
      <w:marTop w:val="0"/>
      <w:marBottom w:val="0"/>
      <w:divBdr>
        <w:top w:val="none" w:sz="0" w:space="0" w:color="auto"/>
        <w:left w:val="none" w:sz="0" w:space="0" w:color="auto"/>
        <w:bottom w:val="none" w:sz="0" w:space="0" w:color="auto"/>
        <w:right w:val="none" w:sz="0" w:space="0" w:color="auto"/>
      </w:divBdr>
    </w:div>
    <w:div w:id="1175071392">
      <w:bodyDiv w:val="1"/>
      <w:marLeft w:val="0"/>
      <w:marRight w:val="0"/>
      <w:marTop w:val="0"/>
      <w:marBottom w:val="0"/>
      <w:divBdr>
        <w:top w:val="none" w:sz="0" w:space="0" w:color="auto"/>
        <w:left w:val="none" w:sz="0" w:space="0" w:color="auto"/>
        <w:bottom w:val="none" w:sz="0" w:space="0" w:color="auto"/>
        <w:right w:val="none" w:sz="0" w:space="0" w:color="auto"/>
      </w:divBdr>
    </w:div>
    <w:div w:id="1293945591">
      <w:bodyDiv w:val="1"/>
      <w:marLeft w:val="0"/>
      <w:marRight w:val="0"/>
      <w:marTop w:val="0"/>
      <w:marBottom w:val="0"/>
      <w:divBdr>
        <w:top w:val="none" w:sz="0" w:space="0" w:color="auto"/>
        <w:left w:val="none" w:sz="0" w:space="0" w:color="auto"/>
        <w:bottom w:val="none" w:sz="0" w:space="0" w:color="auto"/>
        <w:right w:val="none" w:sz="0" w:space="0" w:color="auto"/>
      </w:divBdr>
    </w:div>
    <w:div w:id="1391608483">
      <w:bodyDiv w:val="1"/>
      <w:marLeft w:val="0"/>
      <w:marRight w:val="0"/>
      <w:marTop w:val="0"/>
      <w:marBottom w:val="0"/>
      <w:divBdr>
        <w:top w:val="none" w:sz="0" w:space="0" w:color="auto"/>
        <w:left w:val="none" w:sz="0" w:space="0" w:color="auto"/>
        <w:bottom w:val="none" w:sz="0" w:space="0" w:color="auto"/>
        <w:right w:val="none" w:sz="0" w:space="0" w:color="auto"/>
      </w:divBdr>
    </w:div>
    <w:div w:id="1439837317">
      <w:bodyDiv w:val="1"/>
      <w:marLeft w:val="0"/>
      <w:marRight w:val="0"/>
      <w:marTop w:val="0"/>
      <w:marBottom w:val="0"/>
      <w:divBdr>
        <w:top w:val="none" w:sz="0" w:space="0" w:color="auto"/>
        <w:left w:val="none" w:sz="0" w:space="0" w:color="auto"/>
        <w:bottom w:val="none" w:sz="0" w:space="0" w:color="auto"/>
        <w:right w:val="none" w:sz="0" w:space="0" w:color="auto"/>
      </w:divBdr>
    </w:div>
    <w:div w:id="1454329717">
      <w:bodyDiv w:val="1"/>
      <w:marLeft w:val="0"/>
      <w:marRight w:val="0"/>
      <w:marTop w:val="0"/>
      <w:marBottom w:val="0"/>
      <w:divBdr>
        <w:top w:val="none" w:sz="0" w:space="0" w:color="auto"/>
        <w:left w:val="none" w:sz="0" w:space="0" w:color="auto"/>
        <w:bottom w:val="none" w:sz="0" w:space="0" w:color="auto"/>
        <w:right w:val="none" w:sz="0" w:space="0" w:color="auto"/>
      </w:divBdr>
    </w:div>
    <w:div w:id="1532574529">
      <w:bodyDiv w:val="1"/>
      <w:marLeft w:val="0"/>
      <w:marRight w:val="0"/>
      <w:marTop w:val="0"/>
      <w:marBottom w:val="0"/>
      <w:divBdr>
        <w:top w:val="none" w:sz="0" w:space="0" w:color="auto"/>
        <w:left w:val="none" w:sz="0" w:space="0" w:color="auto"/>
        <w:bottom w:val="none" w:sz="0" w:space="0" w:color="auto"/>
        <w:right w:val="none" w:sz="0" w:space="0" w:color="auto"/>
      </w:divBdr>
    </w:div>
    <w:div w:id="1558281720">
      <w:bodyDiv w:val="1"/>
      <w:marLeft w:val="0"/>
      <w:marRight w:val="0"/>
      <w:marTop w:val="0"/>
      <w:marBottom w:val="0"/>
      <w:divBdr>
        <w:top w:val="none" w:sz="0" w:space="0" w:color="auto"/>
        <w:left w:val="none" w:sz="0" w:space="0" w:color="auto"/>
        <w:bottom w:val="none" w:sz="0" w:space="0" w:color="auto"/>
        <w:right w:val="none" w:sz="0" w:space="0" w:color="auto"/>
      </w:divBdr>
      <w:divsChild>
        <w:div w:id="625039642">
          <w:marLeft w:val="0"/>
          <w:marRight w:val="0"/>
          <w:marTop w:val="0"/>
          <w:marBottom w:val="0"/>
          <w:divBdr>
            <w:top w:val="none" w:sz="0" w:space="0" w:color="auto"/>
            <w:left w:val="none" w:sz="0" w:space="0" w:color="auto"/>
            <w:bottom w:val="none" w:sz="0" w:space="0" w:color="auto"/>
            <w:right w:val="none" w:sz="0" w:space="0" w:color="auto"/>
          </w:divBdr>
          <w:divsChild>
            <w:div w:id="1515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7463">
      <w:bodyDiv w:val="1"/>
      <w:marLeft w:val="0"/>
      <w:marRight w:val="0"/>
      <w:marTop w:val="0"/>
      <w:marBottom w:val="0"/>
      <w:divBdr>
        <w:top w:val="none" w:sz="0" w:space="0" w:color="auto"/>
        <w:left w:val="none" w:sz="0" w:space="0" w:color="auto"/>
        <w:bottom w:val="none" w:sz="0" w:space="0" w:color="auto"/>
        <w:right w:val="none" w:sz="0" w:space="0" w:color="auto"/>
      </w:divBdr>
    </w:div>
    <w:div w:id="1674064882">
      <w:bodyDiv w:val="1"/>
      <w:marLeft w:val="0"/>
      <w:marRight w:val="0"/>
      <w:marTop w:val="0"/>
      <w:marBottom w:val="0"/>
      <w:divBdr>
        <w:top w:val="none" w:sz="0" w:space="0" w:color="auto"/>
        <w:left w:val="none" w:sz="0" w:space="0" w:color="auto"/>
        <w:bottom w:val="none" w:sz="0" w:space="0" w:color="auto"/>
        <w:right w:val="none" w:sz="0" w:space="0" w:color="auto"/>
      </w:divBdr>
      <w:divsChild>
        <w:div w:id="1546452998">
          <w:marLeft w:val="0"/>
          <w:marRight w:val="0"/>
          <w:marTop w:val="0"/>
          <w:marBottom w:val="0"/>
          <w:divBdr>
            <w:top w:val="none" w:sz="0" w:space="0" w:color="auto"/>
            <w:left w:val="none" w:sz="0" w:space="0" w:color="auto"/>
            <w:bottom w:val="none" w:sz="0" w:space="0" w:color="auto"/>
            <w:right w:val="none" w:sz="0" w:space="0" w:color="auto"/>
          </w:divBdr>
          <w:divsChild>
            <w:div w:id="754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629">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aultgroup.com/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vents.renaultgroup.com/en/?utm_source=Push%20mail%20journalistes%20EN%20-%20Financial%20Results&amp;utm_medium=Email%20journalistes&amp;utm_campaign=Financial%20Results%20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trid.de-latude@renault.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aultgroup.com" TargetMode="External"/><Relationship Id="rId5" Type="http://schemas.openxmlformats.org/officeDocument/2006/relationships/numbering" Target="numbering.xml"/><Relationship Id="rId15" Type="http://schemas.openxmlformats.org/officeDocument/2006/relationships/hyperlink" Target="mailto:frederic.texier@renaul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ine.de-schonen@renaul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12d065e-f63f-421b-a848-09a5ff90e93a" xsi:nil="true"/>
    <lcf76f155ced4ddcb4097134ff3c332f xmlns="b158f7e7-ec22-4ff9-a3e7-3b71753c2803">
      <Terms xmlns="http://schemas.microsoft.com/office/infopath/2007/PartnerControls"/>
    </lcf76f155ced4ddcb4097134ff3c332f>
    <SharedWithUsers xmlns="a12d065e-f63f-421b-a848-09a5ff90e93a">
      <UserInfo>
        <DisplayName>DE-SCHONEN Philippine</DisplayName>
        <AccountId>43</AccountId>
        <AccountType/>
      </UserInfo>
      <UserInfo>
        <DisplayName>CHAIX Florent</DisplayName>
        <AccountId>282</AccountId>
        <AccountType/>
      </UserInfo>
      <UserInfo>
        <DisplayName>ROCHELLE Christophe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60C862AA77B40A220A23BF5C8E469" ma:contentTypeVersion="19" ma:contentTypeDescription="Crée un document." ma:contentTypeScope="" ma:versionID="e0503d16b76b8d7ed3fefd5c7e81a00f">
  <xsd:schema xmlns:xsd="http://www.w3.org/2001/XMLSchema" xmlns:xs="http://www.w3.org/2001/XMLSchema" xmlns:p="http://schemas.microsoft.com/office/2006/metadata/properties" xmlns:ns1="http://schemas.microsoft.com/sharepoint/v3" xmlns:ns2="b158f7e7-ec22-4ff9-a3e7-3b71753c2803" xmlns:ns3="a12d065e-f63f-421b-a848-09a5ff90e93a" targetNamespace="http://schemas.microsoft.com/office/2006/metadata/properties" ma:root="true" ma:fieldsID="25b52c6257280a829d799407ff939dee" ns1:_="" ns2:_="" ns3:_="">
    <xsd:import namespace="http://schemas.microsoft.com/sharepoint/v3"/>
    <xsd:import namespace="b158f7e7-ec22-4ff9-a3e7-3b71753c2803"/>
    <xsd:import namespace="a12d065e-f63f-421b-a848-09a5ff90e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8f7e7-ec22-4ff9-a3e7-3b71753c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d065e-f63f-421b-a848-09a5ff90e93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1a4af68-37b2-4fb2-8fb9-61dbe5fa8f3e}" ma:internalName="TaxCatchAll" ma:showField="CatchAllData" ma:web="a12d065e-f63f-421b-a848-09a5ff90e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46EB8-FCCB-4406-A08A-A9497C8DBF60}">
  <ds:schemaRefs>
    <ds:schemaRef ds:uri="http://schemas.microsoft.com/sharepoint/v3/contenttype/forms"/>
  </ds:schemaRefs>
</ds:datastoreItem>
</file>

<file path=customXml/itemProps2.xml><?xml version="1.0" encoding="utf-8"?>
<ds:datastoreItem xmlns:ds="http://schemas.openxmlformats.org/officeDocument/2006/customXml" ds:itemID="{70A9FED7-433E-41B7-9C4C-41368A0F2FD5}">
  <ds:schemaRefs>
    <ds:schemaRef ds:uri="http://schemas.microsoft.com/office/2006/metadata/properties"/>
    <ds:schemaRef ds:uri="http://schemas.microsoft.com/office/infopath/2007/PartnerControls"/>
    <ds:schemaRef ds:uri="http://schemas.microsoft.com/sharepoint/v3"/>
    <ds:schemaRef ds:uri="a12d065e-f63f-421b-a848-09a5ff90e93a"/>
    <ds:schemaRef ds:uri="b158f7e7-ec22-4ff9-a3e7-3b71753c2803"/>
  </ds:schemaRefs>
</ds:datastoreItem>
</file>

<file path=customXml/itemProps3.xml><?xml version="1.0" encoding="utf-8"?>
<ds:datastoreItem xmlns:ds="http://schemas.openxmlformats.org/officeDocument/2006/customXml" ds:itemID="{81DB59ED-7B81-4F20-83BD-247A824FF851}">
  <ds:schemaRefs>
    <ds:schemaRef ds:uri="http://schemas.openxmlformats.org/officeDocument/2006/bibliography"/>
  </ds:schemaRefs>
</ds:datastoreItem>
</file>

<file path=customXml/itemProps4.xml><?xml version="1.0" encoding="utf-8"?>
<ds:datastoreItem xmlns:ds="http://schemas.openxmlformats.org/officeDocument/2006/customXml" ds:itemID="{07AEBF36-B619-49CE-9764-E4656FAF3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58f7e7-ec22-4ff9-a3e7-3b71753c2803"/>
    <ds:schemaRef ds:uri="a12d065e-f63f-421b-a848-09a5ff90e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52</TotalTime>
  <Pages>9</Pages>
  <Words>3112</Words>
  <Characters>17118</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20190</CharactersWithSpaces>
  <SharedDoc>false</SharedDoc>
  <HLinks>
    <vt:vector size="36" baseType="variant">
      <vt:variant>
        <vt:i4>4194409</vt:i4>
      </vt:variant>
      <vt:variant>
        <vt:i4>15</vt:i4>
      </vt:variant>
      <vt:variant>
        <vt:i4>0</vt:i4>
      </vt:variant>
      <vt:variant>
        <vt:i4>5</vt:i4>
      </vt:variant>
      <vt:variant>
        <vt:lpwstr>mailto:astrid.de-latude@renault.com</vt:lpwstr>
      </vt:variant>
      <vt:variant>
        <vt:lpwstr/>
      </vt:variant>
      <vt:variant>
        <vt:i4>3014733</vt:i4>
      </vt:variant>
      <vt:variant>
        <vt:i4>12</vt:i4>
      </vt:variant>
      <vt:variant>
        <vt:i4>0</vt:i4>
      </vt:variant>
      <vt:variant>
        <vt:i4>5</vt:i4>
      </vt:variant>
      <vt:variant>
        <vt:lpwstr>mailto:frederic.texier@renault.com</vt:lpwstr>
      </vt:variant>
      <vt:variant>
        <vt:lpwstr/>
      </vt:variant>
      <vt:variant>
        <vt:i4>5177467</vt:i4>
      </vt:variant>
      <vt:variant>
        <vt:i4>9</vt:i4>
      </vt:variant>
      <vt:variant>
        <vt:i4>0</vt:i4>
      </vt:variant>
      <vt:variant>
        <vt:i4>5</vt:i4>
      </vt:variant>
      <vt:variant>
        <vt:lpwstr>mailto:philippine.de-schonen@renault.com</vt:lpwstr>
      </vt:variant>
      <vt:variant>
        <vt:lpwstr/>
      </vt:variant>
      <vt:variant>
        <vt:i4>1835098</vt:i4>
      </vt:variant>
      <vt:variant>
        <vt:i4>6</vt:i4>
      </vt:variant>
      <vt:variant>
        <vt:i4>0</vt:i4>
      </vt:variant>
      <vt:variant>
        <vt:i4>5</vt:i4>
      </vt:variant>
      <vt:variant>
        <vt:lpwstr>https://www.renaultgroup.com/en/</vt:lpwstr>
      </vt:variant>
      <vt:variant>
        <vt:lpwstr/>
      </vt:variant>
      <vt:variant>
        <vt:i4>3080277</vt:i4>
      </vt:variant>
      <vt:variant>
        <vt:i4>3</vt:i4>
      </vt:variant>
      <vt:variant>
        <vt:i4>0</vt:i4>
      </vt:variant>
      <vt:variant>
        <vt:i4>5</vt:i4>
      </vt:variant>
      <vt:variant>
        <vt:lpwstr>https://events.renaultgroup.com/en/?utm_source=Push%20mail%20journalistes%20EN%20-%20Financial%20Results&amp;utm_medium=Email%20journalistes&amp;utm_campaign=Financial%20Results%202021</vt:lpwstr>
      </vt:variant>
      <vt:variant>
        <vt:lpwstr/>
      </vt:variant>
      <vt:variant>
        <vt:i4>6225998</vt:i4>
      </vt:variant>
      <vt:variant>
        <vt:i4>0</vt:i4>
      </vt:variant>
      <vt:variant>
        <vt:i4>0</vt:i4>
      </vt:variant>
      <vt:variant>
        <vt:i4>5</vt:i4>
      </vt:variant>
      <vt:variant>
        <vt:lpwstr>http://www.renaultgroup.com/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ALEXANDRE Melanie</cp:lastModifiedBy>
  <cp:revision>45</cp:revision>
  <cp:lastPrinted>2023-02-15T17:34:00Z</cp:lastPrinted>
  <dcterms:created xsi:type="dcterms:W3CDTF">2023-02-15T13:55:00Z</dcterms:created>
  <dcterms:modified xsi:type="dcterms:W3CDTF">2023-02-15T21:13:00Z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0x010100F2560C862AA77B40A220A23BF5C8E469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ediaServiceImageTags">
    <vt:lpwstr/>
  </property>
  <property fmtid="{D5CDD505-2E9C-101B-9397-08002B2CF9AE}" pid="20" name="MSIP_Label_fd1c0902-ed92-4fed-896d-2e7725de02d4_SetDate">
    <vt:lpwstr>2023-02-02T19:01:10Z</vt:lpwstr>
  </property>
  <property fmtid="{D5CDD505-2E9C-101B-9397-08002B2CF9AE}" pid="21" name="MSIP_Label_fd1c0902-ed92-4fed-896d-2e7725de02d4_Name">
    <vt:lpwstr>Anyone (not protected)</vt:lpwstr>
  </property>
  <property fmtid="{D5CDD505-2E9C-101B-9397-08002B2CF9AE}" pid="22" name="MSIP_Label_7f30fc12-c89a-4829-a476-5bf9e2086332_SetDate">
    <vt:lpwstr>2023-02-02T19:14:53Z</vt:lpwstr>
  </property>
  <property fmtid="{D5CDD505-2E9C-101B-9397-08002B2CF9AE}" pid="23" name="MSIP_Label_7f30fc12-c89a-4829-a476-5bf9e2086332_Name">
    <vt:lpwstr>Not protected (Anyone)_0</vt:lpwstr>
  </property>
  <property fmtid="{D5CDD505-2E9C-101B-9397-08002B2CF9AE}" pid="24" name="MSIP_Label_7f30fc12-c89a-4829-a476-5bf9e2086332_ActionId">
    <vt:lpwstr>63990942-4849-4f07-b549-c4047265a896</vt:lpwstr>
  </property>
  <property fmtid="{D5CDD505-2E9C-101B-9397-08002B2CF9AE}" pid="25" name="MSIP_Label_7f30fc12-c89a-4829-a476-5bf9e2086332_ContentBits">
    <vt:lpwstr>0</vt:lpwstr>
  </property>
  <property fmtid="{D5CDD505-2E9C-101B-9397-08002B2CF9AE}" pid="26" name="MSIP_Label_7f30fc12-c89a-4829-a476-5bf9e2086332_Enabled">
    <vt:lpwstr>true</vt:lpwstr>
  </property>
  <property fmtid="{D5CDD505-2E9C-101B-9397-08002B2CF9AE}" pid="27" name="MSIP_Label_7f30fc12-c89a-4829-a476-5bf9e2086332_Method">
    <vt:lpwstr>Privileged</vt:lpwstr>
  </property>
  <property fmtid="{D5CDD505-2E9C-101B-9397-08002B2CF9AE}" pid="28" name="MSIP_Label_7f30fc12-c89a-4829-a476-5bf9e2086332_SiteId">
    <vt:lpwstr>d6b0bbee-7cd9-4d60-bce6-4a67b543e2ae</vt:lpwstr>
  </property>
</Properties>
</file>